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2346">
      <w:pPr>
        <w:keepNext w:val="0"/>
        <w:keepLines w:val="0"/>
        <w:pageBreakBefore w:val="0"/>
        <w:widowControl/>
        <w:kinsoku/>
        <w:wordWrap/>
        <w:overflowPunct/>
        <w:topLinePunct w:val="0"/>
        <w:autoSpaceDE w:val="0"/>
        <w:autoSpaceDN w:val="0"/>
        <w:bidi w:val="0"/>
        <w:adjustRightInd w:val="0"/>
        <w:snapToGrid w:val="0"/>
        <w:spacing w:before="6" w:line="580" w:lineRule="exact"/>
        <w:ind w:right="28"/>
        <w:jc w:val="both"/>
        <w:textAlignment w:val="baseline"/>
        <w:rPr>
          <w:rFonts w:hint="default" w:ascii="Times New Roman" w:hAnsi="Times New Roman" w:eastAsia="CESI仿宋-GB2312" w:cs="Times New Roman"/>
          <w:b w:val="0"/>
          <w:bCs w:val="0"/>
          <w:color w:val="auto"/>
          <w:spacing w:val="14"/>
          <w:sz w:val="32"/>
          <w:szCs w:val="32"/>
          <w:highlight w:val="none"/>
          <w:lang w:val="en-US" w:eastAsia="zh-CN"/>
        </w:rPr>
      </w:pPr>
      <w:bookmarkStart w:id="0" w:name="_GoBack"/>
      <w:bookmarkEnd w:id="0"/>
      <w:r>
        <w:rPr>
          <w:rFonts w:hint="default" w:ascii="Times New Roman" w:hAnsi="Times New Roman" w:eastAsia="CESI仿宋-GB2312" w:cs="Times New Roman"/>
          <w:b w:val="0"/>
          <w:bCs w:val="0"/>
          <w:color w:val="auto"/>
          <w:spacing w:val="14"/>
          <w:sz w:val="32"/>
          <w:szCs w:val="32"/>
          <w:highlight w:val="none"/>
          <w:lang w:eastAsia="zh-CN"/>
        </w:rPr>
        <w:t>附件</w:t>
      </w:r>
    </w:p>
    <w:p w14:paraId="091F1AC7">
      <w:pPr>
        <w:keepNext w:val="0"/>
        <w:keepLines w:val="0"/>
        <w:pageBreakBefore w:val="0"/>
        <w:widowControl/>
        <w:kinsoku/>
        <w:wordWrap/>
        <w:overflowPunct/>
        <w:topLinePunct w:val="0"/>
        <w:autoSpaceDE w:val="0"/>
        <w:autoSpaceDN w:val="0"/>
        <w:bidi w:val="0"/>
        <w:adjustRightInd w:val="0"/>
        <w:snapToGrid w:val="0"/>
        <w:spacing w:before="6" w:line="580" w:lineRule="exact"/>
        <w:ind w:right="28"/>
        <w:jc w:val="both"/>
        <w:textAlignment w:val="baseline"/>
        <w:rPr>
          <w:rFonts w:hint="eastAsia" w:ascii="CESI仿宋-GB2312" w:hAnsi="CESI仿宋-GB2312" w:eastAsia="CESI仿宋-GB2312" w:cs="CESI仿宋-GB2312"/>
          <w:b w:val="0"/>
          <w:bCs w:val="0"/>
          <w:color w:val="auto"/>
          <w:spacing w:val="14"/>
          <w:sz w:val="32"/>
          <w:szCs w:val="32"/>
          <w:highlight w:val="none"/>
          <w:lang w:eastAsia="zh-CN"/>
        </w:rPr>
      </w:pPr>
    </w:p>
    <w:p w14:paraId="78F152FC">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小标宋简体" w:cs="Times New Roman"/>
          <w:b w:val="0"/>
          <w:bCs w:val="0"/>
          <w:snapToGrid/>
          <w:color w:val="auto"/>
          <w:spacing w:val="0"/>
          <w:kern w:val="2"/>
          <w:sz w:val="44"/>
          <w:szCs w:val="44"/>
          <w:highlight w:val="none"/>
          <w:lang w:eastAsia="zh-CN"/>
        </w:rPr>
      </w:pPr>
      <w:r>
        <w:rPr>
          <w:rFonts w:hint="eastAsia" w:ascii="Times New Roman" w:hAnsi="Times New Roman" w:eastAsia="方正小标宋简体" w:cs="Times New Roman"/>
          <w:b w:val="0"/>
          <w:bCs w:val="0"/>
          <w:snapToGrid/>
          <w:color w:val="auto"/>
          <w:spacing w:val="0"/>
          <w:kern w:val="2"/>
          <w:sz w:val="44"/>
          <w:szCs w:val="44"/>
          <w:highlight w:val="none"/>
          <w:lang w:eastAsia="zh-CN"/>
        </w:rPr>
        <w:t>廊坊市科技型中小企业信贷风险补偿</w:t>
      </w:r>
    </w:p>
    <w:p w14:paraId="7D1C2F4A">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小标宋简体" w:cs="Times New Roman"/>
          <w:b w:val="0"/>
          <w:bCs w:val="0"/>
          <w:snapToGrid/>
          <w:color w:val="auto"/>
          <w:spacing w:val="0"/>
          <w:kern w:val="2"/>
          <w:sz w:val="44"/>
          <w:szCs w:val="44"/>
          <w:highlight w:val="none"/>
          <w:lang w:eastAsia="zh-CN"/>
        </w:rPr>
      </w:pPr>
      <w:r>
        <w:rPr>
          <w:rFonts w:hint="eastAsia" w:ascii="Times New Roman" w:hAnsi="Times New Roman" w:eastAsia="方正小标宋简体" w:cs="Times New Roman"/>
          <w:b w:val="0"/>
          <w:bCs w:val="0"/>
          <w:snapToGrid/>
          <w:color w:val="auto"/>
          <w:spacing w:val="0"/>
          <w:kern w:val="2"/>
          <w:sz w:val="44"/>
          <w:szCs w:val="44"/>
          <w:highlight w:val="none"/>
          <w:lang w:eastAsia="zh-CN"/>
        </w:rPr>
        <w:t>实施细则（</w:t>
      </w:r>
      <w:r>
        <w:rPr>
          <w:rFonts w:hint="default" w:ascii="Times New Roman" w:hAnsi="Times New Roman" w:eastAsia="方正小标宋简体" w:cs="Times New Roman"/>
          <w:b w:val="0"/>
          <w:bCs w:val="0"/>
          <w:snapToGrid/>
          <w:color w:val="auto"/>
          <w:spacing w:val="0"/>
          <w:kern w:val="2"/>
          <w:sz w:val="44"/>
          <w:szCs w:val="44"/>
          <w:highlight w:val="none"/>
          <w:lang w:val="en-US" w:eastAsia="zh-CN"/>
        </w:rPr>
        <w:t>征求意见稿</w:t>
      </w:r>
      <w:r>
        <w:rPr>
          <w:rFonts w:hint="eastAsia" w:ascii="Times New Roman" w:hAnsi="Times New Roman" w:eastAsia="方正小标宋简体" w:cs="Times New Roman"/>
          <w:b w:val="0"/>
          <w:bCs w:val="0"/>
          <w:snapToGrid/>
          <w:color w:val="auto"/>
          <w:spacing w:val="0"/>
          <w:kern w:val="2"/>
          <w:sz w:val="44"/>
          <w:szCs w:val="44"/>
          <w:highlight w:val="none"/>
          <w:lang w:eastAsia="zh-CN"/>
        </w:rPr>
        <w:t>）</w:t>
      </w:r>
    </w:p>
    <w:p w14:paraId="3C1E5504">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eastAsia="zh-CN"/>
        </w:rPr>
      </w:pPr>
    </w:p>
    <w:p w14:paraId="6610BA1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根据《廊坊市财政引导金融支持经济发展十条措施》，市科技局结合</w:t>
      </w:r>
      <w:r>
        <w:rPr>
          <w:rFonts w:hint="eastAsia" w:ascii="CESI仿宋-GB2312" w:hAnsi="CESI仿宋-GB2312" w:eastAsia="CESI仿宋-GB2312" w:cs="CESI仿宋-GB2312"/>
          <w:b w:val="0"/>
          <w:bCs w:val="0"/>
          <w:color w:val="auto"/>
          <w:spacing w:val="14"/>
          <w:sz w:val="32"/>
          <w:szCs w:val="32"/>
          <w:highlight w:val="none"/>
          <w:lang w:val="en-US" w:eastAsia="zh-CN"/>
        </w:rPr>
        <w:t>工作实际</w:t>
      </w:r>
      <w:r>
        <w:rPr>
          <w:rFonts w:hint="eastAsia" w:ascii="CESI仿宋-GB2312" w:hAnsi="CESI仿宋-GB2312" w:eastAsia="CESI仿宋-GB2312" w:cs="CESI仿宋-GB2312"/>
          <w:b w:val="0"/>
          <w:bCs w:val="0"/>
          <w:color w:val="auto"/>
          <w:spacing w:val="14"/>
          <w:sz w:val="32"/>
          <w:szCs w:val="32"/>
          <w:highlight w:val="none"/>
          <w:lang w:eastAsia="zh-CN"/>
        </w:rPr>
        <w:t>，制定本细则。</w:t>
      </w:r>
    </w:p>
    <w:p w14:paraId="4E3DEC9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第一章  总  则</w:t>
      </w:r>
    </w:p>
    <w:p w14:paraId="7DE09DFE">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第一条</w:t>
      </w:r>
      <w:r>
        <w:rPr>
          <w:rFonts w:ascii="黑体" w:hAnsi="黑体" w:eastAsia="黑体" w:cs="黑体"/>
          <w:b w:val="0"/>
          <w:bCs w:val="0"/>
          <w:color w:val="auto"/>
          <w:spacing w:val="119"/>
          <w:sz w:val="32"/>
          <w:szCs w:val="32"/>
          <w:highlight w:val="none"/>
        </w:rPr>
        <w:t xml:space="preserve"> </w:t>
      </w:r>
      <w:r>
        <w:rPr>
          <w:rFonts w:hint="eastAsia" w:ascii="CESI仿宋-GB2312" w:hAnsi="CESI仿宋-GB2312" w:eastAsia="CESI仿宋-GB2312" w:cs="CESI仿宋-GB2312"/>
          <w:b w:val="0"/>
          <w:bCs w:val="0"/>
          <w:color w:val="auto"/>
          <w:spacing w:val="14"/>
          <w:sz w:val="32"/>
          <w:szCs w:val="32"/>
          <w:highlight w:val="none"/>
        </w:rPr>
        <w:t>本细则所称</w:t>
      </w:r>
      <w:r>
        <w:rPr>
          <w:rFonts w:hint="eastAsia" w:ascii="CESI仿宋-GB2312" w:hAnsi="CESI仿宋-GB2312" w:eastAsia="CESI仿宋-GB2312" w:cs="CESI仿宋-GB2312"/>
          <w:b w:val="0"/>
          <w:bCs w:val="0"/>
          <w:color w:val="auto"/>
          <w:spacing w:val="14"/>
          <w:sz w:val="32"/>
          <w:szCs w:val="32"/>
          <w:highlight w:val="none"/>
          <w:lang w:eastAsia="zh-CN"/>
        </w:rPr>
        <w:t>科技信</w:t>
      </w:r>
      <w:r>
        <w:rPr>
          <w:rFonts w:hint="eastAsia" w:ascii="CESI仿宋-GB2312" w:hAnsi="CESI仿宋-GB2312" w:eastAsia="CESI仿宋-GB2312" w:cs="CESI仿宋-GB2312"/>
          <w:b w:val="0"/>
          <w:bCs w:val="0"/>
          <w:color w:val="auto"/>
          <w:spacing w:val="14"/>
          <w:sz w:val="32"/>
          <w:szCs w:val="32"/>
          <w:highlight w:val="none"/>
        </w:rPr>
        <w:t>贷风险补偿(以下简称“补</w:t>
      </w:r>
      <w:r>
        <w:rPr>
          <w:rFonts w:hint="eastAsia" w:ascii="CESI仿宋-GB2312" w:hAnsi="CESI仿宋-GB2312" w:eastAsia="CESI仿宋-GB2312" w:cs="CESI仿宋-GB2312"/>
          <w:b w:val="0"/>
          <w:bCs w:val="0"/>
          <w:color w:val="auto"/>
          <w:spacing w:val="13"/>
          <w:sz w:val="32"/>
          <w:szCs w:val="32"/>
          <w:highlight w:val="none"/>
        </w:rPr>
        <w:t>偿资金”)是指由</w:t>
      </w:r>
      <w:r>
        <w:rPr>
          <w:rFonts w:hint="eastAsia" w:ascii="CESI仿宋-GB2312" w:hAnsi="CESI仿宋-GB2312" w:eastAsia="CESI仿宋-GB2312" w:cs="CESI仿宋-GB2312"/>
          <w:b w:val="0"/>
          <w:bCs w:val="0"/>
          <w:color w:val="auto"/>
          <w:spacing w:val="13"/>
          <w:sz w:val="32"/>
          <w:szCs w:val="32"/>
          <w:highlight w:val="none"/>
          <w:lang w:eastAsia="zh-CN"/>
        </w:rPr>
        <w:t>市</w:t>
      </w:r>
      <w:r>
        <w:rPr>
          <w:rFonts w:hint="eastAsia" w:ascii="CESI仿宋-GB2312" w:hAnsi="CESI仿宋-GB2312" w:eastAsia="CESI仿宋-GB2312" w:cs="CESI仿宋-GB2312"/>
          <w:b w:val="0"/>
          <w:bCs w:val="0"/>
          <w:color w:val="auto"/>
          <w:spacing w:val="13"/>
          <w:sz w:val="32"/>
          <w:szCs w:val="32"/>
          <w:highlight w:val="none"/>
        </w:rPr>
        <w:t>级财政资金对合作银行发放用于</w:t>
      </w:r>
      <w:r>
        <w:rPr>
          <w:rFonts w:hint="eastAsia" w:ascii="CESI仿宋-GB2312" w:hAnsi="CESI仿宋-GB2312" w:eastAsia="CESI仿宋-GB2312" w:cs="CESI仿宋-GB2312"/>
          <w:b w:val="0"/>
          <w:bCs w:val="0"/>
          <w:color w:val="auto"/>
          <w:spacing w:val="13"/>
          <w:sz w:val="32"/>
          <w:szCs w:val="32"/>
          <w:highlight w:val="none"/>
          <w:lang w:eastAsia="zh-CN"/>
        </w:rPr>
        <w:t>廊坊市</w:t>
      </w:r>
      <w:r>
        <w:rPr>
          <w:rFonts w:hint="eastAsia" w:ascii="CESI仿宋-GB2312" w:hAnsi="CESI仿宋-GB2312" w:eastAsia="CESI仿宋-GB2312" w:cs="CESI仿宋-GB2312"/>
          <w:b w:val="0"/>
          <w:bCs w:val="0"/>
          <w:color w:val="auto"/>
          <w:spacing w:val="13"/>
          <w:sz w:val="32"/>
          <w:szCs w:val="32"/>
          <w:highlight w:val="none"/>
        </w:rPr>
        <w:t>行政区划内</w:t>
      </w:r>
      <w:r>
        <w:rPr>
          <w:rFonts w:hint="eastAsia" w:ascii="CESI仿宋-GB2312" w:hAnsi="CESI仿宋-GB2312" w:eastAsia="CESI仿宋-GB2312" w:cs="CESI仿宋-GB2312"/>
          <w:b w:val="0"/>
          <w:bCs w:val="0"/>
          <w:color w:val="auto"/>
          <w:spacing w:val="6"/>
          <w:sz w:val="32"/>
          <w:szCs w:val="32"/>
          <w:highlight w:val="none"/>
        </w:rPr>
        <w:t>注册的科技型</w:t>
      </w:r>
      <w:r>
        <w:rPr>
          <w:rFonts w:hint="eastAsia" w:ascii="CESI仿宋-GB2312" w:hAnsi="CESI仿宋-GB2312" w:eastAsia="CESI仿宋-GB2312" w:cs="CESI仿宋-GB2312"/>
          <w:b w:val="0"/>
          <w:bCs w:val="0"/>
          <w:color w:val="auto"/>
          <w:spacing w:val="6"/>
          <w:sz w:val="32"/>
          <w:szCs w:val="32"/>
          <w:highlight w:val="none"/>
          <w:lang w:eastAsia="zh-CN"/>
        </w:rPr>
        <w:t>中小企业</w:t>
      </w:r>
      <w:r>
        <w:rPr>
          <w:rFonts w:hint="eastAsia" w:ascii="CESI仿宋-GB2312" w:hAnsi="CESI仿宋-GB2312" w:eastAsia="CESI仿宋-GB2312" w:cs="CESI仿宋-GB2312"/>
          <w:b w:val="0"/>
          <w:bCs w:val="0"/>
          <w:color w:val="auto"/>
          <w:spacing w:val="6"/>
          <w:sz w:val="32"/>
          <w:szCs w:val="32"/>
          <w:highlight w:val="none"/>
        </w:rPr>
        <w:t>的贷款业务给予风险补</w:t>
      </w:r>
      <w:r>
        <w:rPr>
          <w:rFonts w:hint="eastAsia" w:ascii="CESI仿宋-GB2312" w:hAnsi="CESI仿宋-GB2312" w:eastAsia="CESI仿宋-GB2312" w:cs="CESI仿宋-GB2312"/>
          <w:b w:val="0"/>
          <w:bCs w:val="0"/>
          <w:color w:val="000000" w:themeColor="text1"/>
          <w:spacing w:val="6"/>
          <w:sz w:val="32"/>
          <w:szCs w:val="32"/>
          <w:highlight w:val="none"/>
          <w:lang w:eastAsia="zh-CN"/>
          <w14:textFill>
            <w14:solidFill>
              <w14:schemeClr w14:val="tx1"/>
            </w14:solidFill>
          </w14:textFill>
        </w:rPr>
        <w:t>偿</w:t>
      </w:r>
      <w:r>
        <w:rPr>
          <w:rFonts w:hint="eastAsia" w:ascii="CESI仿宋-GB2312" w:hAnsi="CESI仿宋-GB2312" w:eastAsia="CESI仿宋-GB2312" w:cs="CESI仿宋-GB2312"/>
          <w:b w:val="0"/>
          <w:bCs w:val="0"/>
          <w:color w:val="000000" w:themeColor="text1"/>
          <w:spacing w:val="6"/>
          <w:sz w:val="32"/>
          <w:szCs w:val="32"/>
          <w:highlight w:val="none"/>
          <w14:textFill>
            <w14:solidFill>
              <w14:schemeClr w14:val="tx1"/>
            </w14:solidFill>
          </w14:textFill>
        </w:rPr>
        <w:t>资</w:t>
      </w:r>
      <w:r>
        <w:rPr>
          <w:rFonts w:hint="eastAsia" w:ascii="CESI仿宋-GB2312" w:hAnsi="CESI仿宋-GB2312" w:eastAsia="CESI仿宋-GB2312" w:cs="CESI仿宋-GB2312"/>
          <w:b w:val="0"/>
          <w:bCs w:val="0"/>
          <w:color w:val="auto"/>
          <w:spacing w:val="6"/>
          <w:sz w:val="32"/>
          <w:szCs w:val="32"/>
          <w:highlight w:val="none"/>
        </w:rPr>
        <w:t>金。</w:t>
      </w:r>
    </w:p>
    <w:p w14:paraId="0C45CC77">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第二条</w:t>
      </w:r>
      <w:r>
        <w:rPr>
          <w:rFonts w:hint="eastAsia" w:ascii="CESI仿宋-GB2312" w:hAnsi="CESI仿宋-GB2312" w:eastAsia="CESI仿宋-GB2312" w:cs="CESI仿宋-GB2312"/>
          <w:b w:val="0"/>
          <w:bCs w:val="0"/>
          <w:color w:val="auto"/>
          <w:spacing w:val="14"/>
          <w:sz w:val="32"/>
          <w:szCs w:val="32"/>
          <w:highlight w:val="none"/>
        </w:rPr>
        <w:t xml:space="preserve"> 本细则所称的合作银行是指在</w:t>
      </w:r>
      <w:r>
        <w:rPr>
          <w:rFonts w:hint="eastAsia" w:ascii="CESI仿宋-GB2312" w:hAnsi="CESI仿宋-GB2312" w:eastAsia="CESI仿宋-GB2312" w:cs="CESI仿宋-GB2312"/>
          <w:b w:val="0"/>
          <w:bCs w:val="0"/>
          <w:color w:val="auto"/>
          <w:spacing w:val="14"/>
          <w:sz w:val="32"/>
          <w:szCs w:val="32"/>
          <w:highlight w:val="none"/>
          <w:lang w:eastAsia="zh-CN"/>
        </w:rPr>
        <w:t>廊坊市</w:t>
      </w:r>
      <w:r>
        <w:rPr>
          <w:rFonts w:hint="eastAsia" w:ascii="CESI仿宋-GB2312" w:hAnsi="CESI仿宋-GB2312" w:eastAsia="CESI仿宋-GB2312" w:cs="CESI仿宋-GB2312"/>
          <w:b w:val="0"/>
          <w:bCs w:val="0"/>
          <w:color w:val="auto"/>
          <w:spacing w:val="14"/>
          <w:sz w:val="32"/>
          <w:szCs w:val="32"/>
          <w:highlight w:val="none"/>
        </w:rPr>
        <w:t>行政区划内设有总行或者分行，自愿遵守本实施细则有关规定，与补偿资金的主管部门签订合作协议的各银行业金融机构。</w:t>
      </w:r>
    </w:p>
    <w:p w14:paraId="6B97C07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pPr>
      <w:r>
        <w:rPr>
          <w:rFonts w:hint="eastAsia" w:ascii="仿宋" w:hAnsi="仿宋" w:eastAsia="仿宋" w:cstheme="minorBidi"/>
          <w:b/>
          <w:bCs/>
          <w:snapToGrid/>
          <w:color w:val="auto"/>
          <w:spacing w:val="0"/>
          <w:kern w:val="2"/>
          <w:sz w:val="32"/>
          <w:szCs w:val="32"/>
          <w:highlight w:val="none"/>
          <w:lang w:eastAsia="zh-CN"/>
        </w:rPr>
        <w:t>第三条</w:t>
      </w:r>
      <w:r>
        <w:rPr>
          <w:rFonts w:hint="eastAsia" w:ascii="CESI仿宋-GB2312" w:hAnsi="CESI仿宋-GB2312" w:eastAsia="CESI仿宋-GB2312" w:cs="CESI仿宋-GB2312"/>
          <w:b w:val="0"/>
          <w:bCs w:val="0"/>
          <w:color w:val="auto"/>
          <w:spacing w:val="14"/>
          <w:sz w:val="32"/>
          <w:szCs w:val="32"/>
          <w:highlight w:val="none"/>
        </w:rPr>
        <w:t xml:space="preserve"> </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本细则所称的科技</w:t>
      </w:r>
      <w:r>
        <w:rPr>
          <w:rFonts w:hint="eastAsia" w:ascii="CESI仿宋-GB2312" w:hAnsi="CESI仿宋-GB2312" w:eastAsia="CESI仿宋-GB2312" w:cs="CESI仿宋-GB2312"/>
          <w:b w:val="0"/>
          <w:bCs w:val="0"/>
          <w:color w:val="000000" w:themeColor="text1"/>
          <w:spacing w:val="14"/>
          <w:sz w:val="32"/>
          <w:szCs w:val="32"/>
          <w:highlight w:val="none"/>
          <w:lang w:eastAsia="zh-CN"/>
          <w14:textFill>
            <w14:solidFill>
              <w14:schemeClr w14:val="tx1"/>
            </w14:solidFill>
          </w14:textFill>
        </w:rPr>
        <w:t>型中小企业</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是指有效期内的河北省科技型中小企业、国家科技型中小企业</w:t>
      </w:r>
      <w:r>
        <w:rPr>
          <w:rFonts w:hint="eastAsia" w:ascii="CESI仿宋-GB2312" w:hAnsi="CESI仿宋-GB2312" w:eastAsia="CESI仿宋-GB2312" w:cs="CESI仿宋-GB2312"/>
          <w:b w:val="0"/>
          <w:bCs w:val="0"/>
          <w:color w:val="000000" w:themeColor="text1"/>
          <w:spacing w:val="14"/>
          <w:sz w:val="32"/>
          <w:szCs w:val="32"/>
          <w:highlight w:val="none"/>
          <w:lang w:eastAsia="zh-CN"/>
          <w14:textFill>
            <w14:solidFill>
              <w14:schemeClr w14:val="tx1"/>
            </w14:solidFill>
          </w14:textFill>
        </w:rPr>
        <w:t>和</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符合《关于印发中小企业划型标准规定的通知》（工信部联企业〔</w:t>
      </w:r>
      <w:r>
        <w:rPr>
          <w:rFonts w:hint="default" w:ascii="Times New Roman" w:hAnsi="Times New Roman" w:eastAsia="CESI仿宋-GB2312" w:cs="Times New Roman"/>
          <w:b w:val="0"/>
          <w:bCs w:val="0"/>
          <w:color w:val="000000" w:themeColor="text1"/>
          <w:spacing w:val="14"/>
          <w:sz w:val="32"/>
          <w:szCs w:val="32"/>
          <w:highlight w:val="none"/>
          <w14:textFill>
            <w14:solidFill>
              <w14:schemeClr w14:val="tx1"/>
            </w14:solidFill>
          </w14:textFill>
        </w:rPr>
        <w:t>2011</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w:t>
      </w:r>
      <w:r>
        <w:rPr>
          <w:rFonts w:hint="default" w:ascii="Times New Roman" w:hAnsi="Times New Roman" w:eastAsia="CESI仿宋-GB2312" w:cs="Times New Roman"/>
          <w:b w:val="0"/>
          <w:bCs w:val="0"/>
          <w:color w:val="000000" w:themeColor="text1"/>
          <w:spacing w:val="14"/>
          <w:sz w:val="32"/>
          <w:szCs w:val="32"/>
          <w:highlight w:val="none"/>
          <w14:textFill>
            <w14:solidFill>
              <w14:schemeClr w14:val="tx1"/>
            </w14:solidFill>
          </w14:textFill>
        </w:rPr>
        <w:t>300</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号）规定的</w:t>
      </w:r>
      <w:r>
        <w:rPr>
          <w:rFonts w:hint="eastAsia" w:ascii="CESI仿宋-GB2312" w:hAnsi="CESI仿宋-GB2312" w:eastAsia="CESI仿宋-GB2312" w:cs="CESI仿宋-GB2312"/>
          <w:b w:val="0"/>
          <w:bCs w:val="0"/>
          <w:color w:val="000000" w:themeColor="text1"/>
          <w:spacing w:val="14"/>
          <w:sz w:val="32"/>
          <w:szCs w:val="32"/>
          <w:highlight w:val="none"/>
          <w:lang w:eastAsia="zh-CN"/>
          <w14:textFill>
            <w14:solidFill>
              <w14:schemeClr w14:val="tx1"/>
            </w14:solidFill>
          </w14:textFill>
        </w:rPr>
        <w:t>中小企业</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标准的</w:t>
      </w:r>
      <w:r>
        <w:rPr>
          <w:rFonts w:hint="eastAsia" w:ascii="CESI仿宋-GB2312" w:hAnsi="CESI仿宋-GB2312" w:eastAsia="CESI仿宋-GB2312" w:cs="CESI仿宋-GB2312"/>
          <w:b w:val="0"/>
          <w:bCs w:val="0"/>
          <w:color w:val="000000" w:themeColor="text1"/>
          <w:spacing w:val="14"/>
          <w:sz w:val="32"/>
          <w:szCs w:val="32"/>
          <w:highlight w:val="none"/>
          <w:lang w:eastAsia="zh-CN"/>
          <w14:textFill>
            <w14:solidFill>
              <w14:schemeClr w14:val="tx1"/>
            </w14:solidFill>
          </w14:textFill>
        </w:rPr>
        <w:t>（如国家有关主管部门调整中型小型企业划分标准，按新标准执行）</w:t>
      </w:r>
      <w:r>
        <w:rPr>
          <w:rFonts w:hint="eastAsia" w:ascii="CESI仿宋-GB2312" w:hAnsi="CESI仿宋-GB2312" w:eastAsia="CESI仿宋-GB2312" w:cs="CESI仿宋-GB2312"/>
          <w:b w:val="0"/>
          <w:bCs w:val="0"/>
          <w:color w:val="000000" w:themeColor="text1"/>
          <w:spacing w:val="14"/>
          <w:sz w:val="32"/>
          <w:szCs w:val="32"/>
          <w:highlight w:val="none"/>
          <w14:textFill>
            <w14:solidFill>
              <w14:schemeClr w14:val="tx1"/>
            </w14:solidFill>
          </w14:textFill>
        </w:rPr>
        <w:t>高新技术企业。</w:t>
      </w:r>
    </w:p>
    <w:p w14:paraId="4766AC72">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第四条</w:t>
      </w:r>
      <w:r>
        <w:rPr>
          <w:rFonts w:hint="eastAsia" w:ascii="CESI仿宋-GB2312" w:hAnsi="CESI仿宋-GB2312" w:eastAsia="CESI仿宋-GB2312" w:cs="CESI仿宋-GB2312"/>
          <w:b w:val="0"/>
          <w:bCs w:val="0"/>
          <w:color w:val="auto"/>
          <w:spacing w:val="14"/>
          <w:sz w:val="32"/>
          <w:szCs w:val="32"/>
          <w:highlight w:val="none"/>
        </w:rPr>
        <w:t xml:space="preserve"> 补偿资金实行专款专用，当年未使用资金原则上应滚入下一年度使用，资金产生利息滚存计入资金专户。</w:t>
      </w:r>
    </w:p>
    <w:p w14:paraId="46CB1A1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center"/>
        <w:textAlignment w:val="baseline"/>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第二章  组织架构及职责</w:t>
      </w:r>
    </w:p>
    <w:p w14:paraId="227E01A6">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第五条</w:t>
      </w:r>
      <w:r>
        <w:rPr>
          <w:rFonts w:hint="eastAsia" w:ascii="CESI仿宋-GB2312" w:hAnsi="CESI仿宋-GB2312" w:eastAsia="CESI仿宋-GB2312" w:cs="CESI仿宋-GB2312"/>
          <w:b w:val="0"/>
          <w:bCs w:val="0"/>
          <w:color w:val="auto"/>
          <w:spacing w:val="14"/>
          <w:sz w:val="32"/>
          <w:szCs w:val="32"/>
          <w:highlight w:val="none"/>
        </w:rPr>
        <w:t xml:space="preserve"> </w:t>
      </w:r>
      <w:r>
        <w:rPr>
          <w:rFonts w:hint="eastAsia" w:ascii="CESI仿宋-GB2312" w:hAnsi="CESI仿宋-GB2312" w:eastAsia="CESI仿宋-GB2312" w:cs="CESI仿宋-GB2312"/>
          <w:b w:val="0"/>
          <w:bCs w:val="0"/>
          <w:color w:val="auto"/>
          <w:spacing w:val="14"/>
          <w:sz w:val="32"/>
          <w:szCs w:val="32"/>
          <w:highlight w:val="none"/>
          <w:lang w:eastAsia="zh-CN"/>
        </w:rPr>
        <w:t>市科技局负责</w:t>
      </w:r>
      <w:r>
        <w:rPr>
          <w:rFonts w:hint="eastAsia" w:ascii="CESI仿宋-GB2312" w:hAnsi="CESI仿宋-GB2312" w:eastAsia="CESI仿宋-GB2312" w:cs="CESI仿宋-GB2312"/>
          <w:b w:val="0"/>
          <w:bCs w:val="0"/>
          <w:color w:val="auto"/>
          <w:spacing w:val="14"/>
          <w:sz w:val="32"/>
          <w:szCs w:val="32"/>
          <w:highlight w:val="none"/>
        </w:rPr>
        <w:t>制定完善风险补偿实施细则及相关政策；确定合作银行；受理、审核各合作银行不良贷款风险补偿申请。</w:t>
      </w:r>
    </w:p>
    <w:p w14:paraId="665A9D5F">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3" w:firstLineChars="200"/>
        <w:jc w:val="both"/>
        <w:textAlignment w:val="baseline"/>
        <w:rPr>
          <w:rFonts w:hint="default" w:ascii="CESI仿宋-GB2312" w:hAnsi="CESI仿宋-GB2312" w:eastAsia="CESI仿宋-GB2312" w:cs="CESI仿宋-GB2312"/>
          <w:b/>
          <w:bCs/>
          <w:color w:val="auto"/>
          <w:spacing w:val="14"/>
          <w:sz w:val="30"/>
          <w:szCs w:val="30"/>
          <w:highlight w:val="none"/>
          <w:lang w:val="en-US" w:eastAsia="zh-CN"/>
        </w:rPr>
      </w:pPr>
      <w:r>
        <w:rPr>
          <w:rFonts w:hint="eastAsia" w:ascii="仿宋" w:hAnsi="仿宋" w:eastAsia="仿宋" w:cstheme="minorBidi"/>
          <w:b/>
          <w:bCs/>
          <w:snapToGrid/>
          <w:color w:val="auto"/>
          <w:spacing w:val="0"/>
          <w:kern w:val="2"/>
          <w:sz w:val="32"/>
          <w:szCs w:val="32"/>
          <w:highlight w:val="none"/>
          <w:lang w:eastAsia="zh-CN"/>
        </w:rPr>
        <w:t>第六条</w:t>
      </w:r>
      <w:r>
        <w:rPr>
          <w:rFonts w:hint="eastAsia" w:ascii="CESI仿宋-GB2312" w:hAnsi="CESI仿宋-GB2312" w:eastAsia="CESI仿宋-GB2312" w:cs="CESI仿宋-GB2312"/>
          <w:b/>
          <w:bCs/>
          <w:color w:val="auto"/>
          <w:spacing w:val="14"/>
          <w:sz w:val="30"/>
          <w:szCs w:val="30"/>
          <w:highlight w:val="none"/>
          <w:lang w:val="en-US" w:eastAsia="zh-CN"/>
        </w:rPr>
        <w:t xml:space="preserve"> </w:t>
      </w:r>
      <w:r>
        <w:rPr>
          <w:rFonts w:hint="eastAsia" w:ascii="CESI仿宋-GB2312" w:hAnsi="CESI仿宋-GB2312" w:eastAsia="CESI仿宋-GB2312" w:cs="CESI仿宋-GB2312"/>
          <w:b w:val="0"/>
          <w:bCs w:val="0"/>
          <w:color w:val="auto"/>
          <w:spacing w:val="14"/>
          <w:sz w:val="32"/>
          <w:szCs w:val="32"/>
          <w:highlight w:val="none"/>
          <w:lang w:val="en-US" w:eastAsia="zh-CN"/>
        </w:rPr>
        <w:t>人民银行廊坊市分行、国家金融监管总局廊坊监管分局负责配合审核各合作银行不良贷款风险补偿申请。</w:t>
      </w:r>
    </w:p>
    <w:p w14:paraId="48AC6E6F">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第七条</w:t>
      </w:r>
      <w:r>
        <w:rPr>
          <w:rFonts w:hint="eastAsia" w:ascii="CESI仿宋-GB2312" w:hAnsi="CESI仿宋-GB2312" w:eastAsia="CESI仿宋-GB2312" w:cs="CESI仿宋-GB2312"/>
          <w:b w:val="0"/>
          <w:bCs w:val="0"/>
          <w:color w:val="auto"/>
          <w:spacing w:val="14"/>
          <w:sz w:val="32"/>
          <w:szCs w:val="32"/>
          <w:highlight w:val="none"/>
          <w:lang w:val="en-US" w:eastAsia="zh-CN"/>
        </w:rPr>
        <w:t xml:space="preserve"> </w:t>
      </w:r>
      <w:r>
        <w:rPr>
          <w:rFonts w:hint="eastAsia" w:ascii="CESI仿宋-GB2312" w:hAnsi="CESI仿宋-GB2312" w:eastAsia="CESI仿宋-GB2312" w:cs="CESI仿宋-GB2312"/>
          <w:b w:val="0"/>
          <w:bCs w:val="0"/>
          <w:color w:val="auto"/>
          <w:spacing w:val="14"/>
          <w:sz w:val="32"/>
          <w:szCs w:val="32"/>
          <w:highlight w:val="none"/>
        </w:rPr>
        <w:t>市财政局负责风险补偿资金的预算管理、资金审核和拨付，并且对资金使用情况进行监督检查。</w:t>
      </w:r>
    </w:p>
    <w:p w14:paraId="3942F99E">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eastAsia="zh-CN"/>
        </w:rPr>
      </w:pPr>
      <w:r>
        <w:rPr>
          <w:rFonts w:hint="eastAsia" w:ascii="仿宋" w:hAnsi="仿宋" w:eastAsia="仿宋" w:cstheme="minorBidi"/>
          <w:b/>
          <w:bCs/>
          <w:snapToGrid/>
          <w:color w:val="auto"/>
          <w:spacing w:val="0"/>
          <w:kern w:val="2"/>
          <w:sz w:val="32"/>
          <w:szCs w:val="32"/>
          <w:highlight w:val="none"/>
          <w:lang w:eastAsia="zh-CN"/>
        </w:rPr>
        <w:t>第八条</w:t>
      </w:r>
      <w:r>
        <w:rPr>
          <w:rFonts w:hint="eastAsia" w:ascii="CESI仿宋-GB2312" w:hAnsi="CESI仿宋-GB2312" w:eastAsia="CESI仿宋-GB2312" w:cs="CESI仿宋-GB2312"/>
          <w:b w:val="0"/>
          <w:bCs w:val="0"/>
          <w:color w:val="auto"/>
          <w:spacing w:val="14"/>
          <w:sz w:val="32"/>
          <w:szCs w:val="32"/>
          <w:highlight w:val="none"/>
          <w:lang w:val="en-US" w:eastAsia="zh-CN"/>
        </w:rPr>
        <w:t xml:space="preserve"> </w:t>
      </w:r>
      <w:r>
        <w:rPr>
          <w:rFonts w:hint="eastAsia" w:ascii="CESI仿宋-GB2312" w:hAnsi="CESI仿宋-GB2312" w:eastAsia="CESI仿宋-GB2312" w:cs="CESI仿宋-GB2312"/>
          <w:b w:val="0"/>
          <w:bCs w:val="0"/>
          <w:color w:val="auto"/>
          <w:spacing w:val="14"/>
          <w:sz w:val="32"/>
          <w:szCs w:val="32"/>
          <w:highlight w:val="none"/>
        </w:rPr>
        <w:t>合作银行主要职责</w:t>
      </w:r>
      <w:r>
        <w:rPr>
          <w:rFonts w:hint="eastAsia" w:ascii="CESI仿宋-GB2312" w:hAnsi="CESI仿宋-GB2312" w:eastAsia="CESI仿宋-GB2312" w:cs="CESI仿宋-GB2312"/>
          <w:b w:val="0"/>
          <w:bCs w:val="0"/>
          <w:color w:val="auto"/>
          <w:spacing w:val="14"/>
          <w:sz w:val="32"/>
          <w:szCs w:val="32"/>
          <w:highlight w:val="none"/>
          <w:lang w:eastAsia="zh-CN"/>
        </w:rPr>
        <w:t>：</w:t>
      </w:r>
    </w:p>
    <w:p w14:paraId="045C7ADC">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default" w:ascii="Times New Roman" w:hAnsi="Times New Roman" w:eastAsia="CESI仿宋-GB2312" w:cs="Times New Roman"/>
          <w:b w:val="0"/>
          <w:bCs w:val="0"/>
          <w:color w:val="auto"/>
          <w:spacing w:val="14"/>
          <w:sz w:val="32"/>
          <w:szCs w:val="32"/>
          <w:highlight w:val="none"/>
        </w:rPr>
      </w:pP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rPr>
        <w:t>一</w:t>
      </w: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rPr>
        <w:t>严格执行《中国银监会关于印发</w:t>
      </w:r>
      <w:r>
        <w:rPr>
          <w:rFonts w:hint="eastAsia" w:ascii="Times New Roman" w:hAnsi="Times New Roman" w:eastAsia="CESI仿宋-GB2312" w:cs="Times New Roman"/>
          <w:b w:val="0"/>
          <w:bCs w:val="0"/>
          <w:color w:val="auto"/>
          <w:spacing w:val="14"/>
          <w:sz w:val="32"/>
          <w:szCs w:val="32"/>
          <w:highlight w:val="none"/>
          <w:lang w:val="en-US" w:eastAsia="zh-CN"/>
        </w:rPr>
        <w:t>&lt;</w:t>
      </w:r>
      <w:r>
        <w:rPr>
          <w:rFonts w:hint="default" w:ascii="Times New Roman" w:hAnsi="Times New Roman" w:eastAsia="CESI仿宋-GB2312" w:cs="Times New Roman"/>
          <w:b w:val="0"/>
          <w:bCs w:val="0"/>
          <w:color w:val="auto"/>
          <w:spacing w:val="14"/>
          <w:sz w:val="32"/>
          <w:szCs w:val="32"/>
          <w:highlight w:val="none"/>
        </w:rPr>
        <w:t>贷款风险分类指引</w:t>
      </w:r>
      <w:r>
        <w:rPr>
          <w:rFonts w:hint="eastAsia" w:ascii="Times New Roman" w:hAnsi="Times New Roman" w:eastAsia="CESI仿宋-GB2312" w:cs="Times New Roman"/>
          <w:b w:val="0"/>
          <w:bCs w:val="0"/>
          <w:color w:val="auto"/>
          <w:spacing w:val="14"/>
          <w:sz w:val="32"/>
          <w:szCs w:val="32"/>
          <w:highlight w:val="none"/>
          <w:lang w:val="en-US" w:eastAsia="zh-CN"/>
        </w:rPr>
        <w:t>&gt;</w:t>
      </w:r>
      <w:r>
        <w:rPr>
          <w:rFonts w:hint="default" w:ascii="Times New Roman" w:hAnsi="Times New Roman" w:eastAsia="CESI仿宋-GB2312" w:cs="Times New Roman"/>
          <w:b w:val="0"/>
          <w:bCs w:val="0"/>
          <w:color w:val="auto"/>
          <w:spacing w:val="14"/>
          <w:sz w:val="32"/>
          <w:szCs w:val="32"/>
          <w:highlight w:val="none"/>
        </w:rPr>
        <w:t>的通知》等有关规定，保证贷款风险分类准确、信息完整。</w:t>
      </w:r>
    </w:p>
    <w:p w14:paraId="7DDDAD6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default" w:ascii="Times New Roman" w:hAnsi="Times New Roman" w:eastAsia="CESI仿宋-GB2312" w:cs="Times New Roman"/>
          <w:b w:val="0"/>
          <w:bCs w:val="0"/>
          <w:color w:val="auto"/>
          <w:spacing w:val="14"/>
          <w:sz w:val="32"/>
          <w:szCs w:val="32"/>
          <w:highlight w:val="none"/>
        </w:rPr>
      </w:pP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lang w:eastAsia="zh-CN"/>
        </w:rPr>
        <w:t>二</w:t>
      </w: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rPr>
        <w:t>负责贷款项目的管理，报送科技型</w:t>
      </w:r>
      <w:r>
        <w:rPr>
          <w:rFonts w:hint="eastAsia" w:ascii="Times New Roman" w:hAnsi="Times New Roman" w:eastAsia="CESI仿宋-GB2312" w:cs="Times New Roman"/>
          <w:b w:val="0"/>
          <w:bCs w:val="0"/>
          <w:color w:val="auto"/>
          <w:spacing w:val="14"/>
          <w:sz w:val="32"/>
          <w:szCs w:val="32"/>
          <w:highlight w:val="none"/>
          <w:lang w:eastAsia="zh-CN"/>
        </w:rPr>
        <w:t>中小企业</w:t>
      </w:r>
      <w:r>
        <w:rPr>
          <w:rFonts w:hint="default" w:ascii="Times New Roman" w:hAnsi="Times New Roman" w:eastAsia="CESI仿宋-GB2312" w:cs="Times New Roman"/>
          <w:b w:val="0"/>
          <w:bCs w:val="0"/>
          <w:color w:val="auto"/>
          <w:spacing w:val="14"/>
          <w:sz w:val="32"/>
          <w:szCs w:val="32"/>
          <w:highlight w:val="none"/>
        </w:rPr>
        <w:t>贷款发放情况的相关资料，对报送贷款项目的真实性、完整性、合规性负责。</w:t>
      </w:r>
    </w:p>
    <w:p w14:paraId="6F1C40C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default" w:ascii="Times New Roman" w:hAnsi="Times New Roman" w:eastAsia="CESI仿宋-GB2312" w:cs="Times New Roman"/>
          <w:b w:val="0"/>
          <w:bCs w:val="0"/>
          <w:color w:val="auto"/>
          <w:spacing w:val="14"/>
          <w:sz w:val="32"/>
          <w:szCs w:val="32"/>
          <w:highlight w:val="none"/>
        </w:rPr>
      </w:pP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lang w:eastAsia="zh-CN"/>
        </w:rPr>
        <w:t>三</w:t>
      </w: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rPr>
        <w:t>建立贷款项目风险补偿预警机制，对逾期贷款，及时沟通通报风险状况。</w:t>
      </w:r>
    </w:p>
    <w:p w14:paraId="56631962">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default" w:ascii="Times New Roman" w:hAnsi="Times New Roman" w:eastAsia="CESI仿宋-GB2312" w:cs="Times New Roman"/>
          <w:b w:val="0"/>
          <w:bCs w:val="0"/>
          <w:color w:val="auto"/>
          <w:spacing w:val="14"/>
          <w:sz w:val="32"/>
          <w:szCs w:val="32"/>
          <w:highlight w:val="none"/>
        </w:rPr>
      </w:pP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lang w:eastAsia="zh-CN"/>
        </w:rPr>
        <w:t>四</w:t>
      </w:r>
      <w:r>
        <w:rPr>
          <w:rFonts w:hint="eastAsia" w:ascii="Times New Roman" w:hAnsi="Times New Roman" w:eastAsia="CESI仿宋-GB2312" w:cs="Times New Roman"/>
          <w:b w:val="0"/>
          <w:bCs w:val="0"/>
          <w:color w:val="auto"/>
          <w:spacing w:val="14"/>
          <w:sz w:val="32"/>
          <w:szCs w:val="32"/>
          <w:highlight w:val="none"/>
          <w:lang w:eastAsia="zh-CN"/>
        </w:rPr>
        <w:t>）</w:t>
      </w:r>
      <w:r>
        <w:rPr>
          <w:rFonts w:hint="default" w:ascii="Times New Roman" w:hAnsi="Times New Roman" w:eastAsia="CESI仿宋-GB2312" w:cs="Times New Roman"/>
          <w:b w:val="0"/>
          <w:bCs w:val="0"/>
          <w:color w:val="auto"/>
          <w:spacing w:val="14"/>
          <w:sz w:val="32"/>
          <w:szCs w:val="32"/>
          <w:highlight w:val="none"/>
        </w:rPr>
        <w:t>配合开展相关审计、监督、绩效评价工作。</w:t>
      </w:r>
    </w:p>
    <w:p w14:paraId="76E79CA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第三章  补偿对象与条件</w:t>
      </w:r>
    </w:p>
    <w:p w14:paraId="7381561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第九条</w:t>
      </w:r>
      <w:r>
        <w:rPr>
          <w:rFonts w:hint="eastAsia" w:ascii="CESI仿宋-GB2312" w:hAnsi="CESI仿宋-GB2312" w:eastAsia="CESI仿宋-GB2312" w:cs="CESI仿宋-GB2312"/>
          <w:b w:val="0"/>
          <w:bCs w:val="0"/>
          <w:color w:val="auto"/>
          <w:spacing w:val="14"/>
          <w:sz w:val="32"/>
          <w:szCs w:val="32"/>
          <w:highlight w:val="none"/>
        </w:rPr>
        <w:t xml:space="preserve"> 风险补偿对象为合作银行。合作银行必须同时符合下列条件：</w:t>
      </w:r>
    </w:p>
    <w:p w14:paraId="2144E57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（一）</w:t>
      </w:r>
      <w:r>
        <w:rPr>
          <w:rFonts w:hint="eastAsia" w:ascii="CESI仿宋-GB2312" w:hAnsi="CESI仿宋-GB2312" w:eastAsia="CESI仿宋-GB2312" w:cs="CESI仿宋-GB2312"/>
          <w:b w:val="0"/>
          <w:bCs w:val="0"/>
          <w:color w:val="auto"/>
          <w:spacing w:val="14"/>
          <w:sz w:val="32"/>
          <w:szCs w:val="32"/>
          <w:highlight w:val="none"/>
        </w:rPr>
        <w:t>在中国大陆境内注册，具有开展人民币贷款业务资格的银行业金融机构。</w:t>
      </w:r>
    </w:p>
    <w:p w14:paraId="46E3644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（二）</w:t>
      </w:r>
      <w:r>
        <w:rPr>
          <w:rFonts w:hint="eastAsia" w:ascii="CESI仿宋-GB2312" w:hAnsi="CESI仿宋-GB2312" w:eastAsia="CESI仿宋-GB2312" w:cs="CESI仿宋-GB2312"/>
          <w:b w:val="0"/>
          <w:bCs w:val="0"/>
          <w:color w:val="auto"/>
          <w:spacing w:val="14"/>
          <w:sz w:val="32"/>
          <w:szCs w:val="32"/>
          <w:highlight w:val="none"/>
        </w:rPr>
        <w:t>在</w:t>
      </w:r>
      <w:r>
        <w:rPr>
          <w:rFonts w:hint="eastAsia" w:ascii="CESI仿宋-GB2312" w:hAnsi="CESI仿宋-GB2312" w:eastAsia="CESI仿宋-GB2312" w:cs="CESI仿宋-GB2312"/>
          <w:b w:val="0"/>
          <w:bCs w:val="0"/>
          <w:color w:val="auto"/>
          <w:spacing w:val="14"/>
          <w:sz w:val="32"/>
          <w:szCs w:val="32"/>
          <w:highlight w:val="none"/>
          <w:lang w:eastAsia="zh-CN"/>
        </w:rPr>
        <w:t>廊坊市</w:t>
      </w:r>
      <w:r>
        <w:rPr>
          <w:rFonts w:hint="eastAsia" w:ascii="CESI仿宋-GB2312" w:hAnsi="CESI仿宋-GB2312" w:eastAsia="CESI仿宋-GB2312" w:cs="CESI仿宋-GB2312"/>
          <w:b w:val="0"/>
          <w:bCs w:val="0"/>
          <w:color w:val="auto"/>
          <w:spacing w:val="14"/>
          <w:sz w:val="32"/>
          <w:szCs w:val="32"/>
          <w:highlight w:val="none"/>
        </w:rPr>
        <w:t>行政区划内设有总行或者分行，设有专门的科技金融工作部门和工作团队，制定专门的科技金融信贷政策，并开发专门的科技金融信贷产品，同等条件下设有科技支行的优先。</w:t>
      </w:r>
    </w:p>
    <w:p w14:paraId="6931E12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（三）</w:t>
      </w:r>
      <w:r>
        <w:rPr>
          <w:rFonts w:hint="eastAsia" w:ascii="CESI仿宋-GB2312" w:hAnsi="CESI仿宋-GB2312" w:eastAsia="CESI仿宋-GB2312" w:cs="CESI仿宋-GB2312"/>
          <w:b w:val="0"/>
          <w:bCs w:val="0"/>
          <w:color w:val="auto"/>
          <w:spacing w:val="14"/>
          <w:sz w:val="32"/>
          <w:szCs w:val="32"/>
          <w:highlight w:val="none"/>
        </w:rPr>
        <w:t>资产状况良好，具有较强的风险控制能力和较好的经营业绩，无重大违法违规行为。</w:t>
      </w:r>
    </w:p>
    <w:p w14:paraId="703D9BEE">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（四）</w:t>
      </w:r>
      <w:r>
        <w:rPr>
          <w:rFonts w:hint="eastAsia" w:ascii="CESI仿宋-GB2312" w:hAnsi="CESI仿宋-GB2312" w:eastAsia="CESI仿宋-GB2312" w:cs="CESI仿宋-GB2312"/>
          <w:b w:val="0"/>
          <w:bCs w:val="0"/>
          <w:color w:val="auto"/>
          <w:spacing w:val="14"/>
          <w:sz w:val="32"/>
          <w:szCs w:val="32"/>
          <w:highlight w:val="none"/>
        </w:rPr>
        <w:t>财务管理制度健全，并按照贷款风险程度五级分类标准对科技型</w:t>
      </w:r>
      <w:r>
        <w:rPr>
          <w:rFonts w:hint="eastAsia" w:ascii="CESI仿宋-GB2312" w:hAnsi="CESI仿宋-GB2312" w:eastAsia="CESI仿宋-GB2312" w:cs="CESI仿宋-GB2312"/>
          <w:b w:val="0"/>
          <w:bCs w:val="0"/>
          <w:color w:val="auto"/>
          <w:spacing w:val="14"/>
          <w:sz w:val="32"/>
          <w:szCs w:val="32"/>
          <w:highlight w:val="none"/>
          <w:lang w:eastAsia="zh-CN"/>
        </w:rPr>
        <w:t>中小企业</w:t>
      </w:r>
      <w:r>
        <w:rPr>
          <w:rFonts w:hint="eastAsia" w:ascii="CESI仿宋-GB2312" w:hAnsi="CESI仿宋-GB2312" w:eastAsia="CESI仿宋-GB2312" w:cs="CESI仿宋-GB2312"/>
          <w:b w:val="0"/>
          <w:bCs w:val="0"/>
          <w:color w:val="auto"/>
          <w:spacing w:val="14"/>
          <w:sz w:val="32"/>
          <w:szCs w:val="32"/>
          <w:highlight w:val="none"/>
        </w:rPr>
        <w:t>贷款进行分类，准确计提不良贷款拨备。</w:t>
      </w:r>
    </w:p>
    <w:p w14:paraId="1DA63AF1">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eastAsia="zh-CN"/>
        </w:rPr>
        <w:t>第十条</w:t>
      </w:r>
      <w:r>
        <w:rPr>
          <w:rFonts w:hint="eastAsia" w:ascii="CESI仿宋-GB2312" w:hAnsi="CESI仿宋-GB2312" w:eastAsia="CESI仿宋-GB2312" w:cs="CESI仿宋-GB2312"/>
          <w:b w:val="0"/>
          <w:bCs w:val="0"/>
          <w:color w:val="auto"/>
          <w:spacing w:val="14"/>
          <w:sz w:val="32"/>
          <w:szCs w:val="32"/>
          <w:highlight w:val="none"/>
        </w:rPr>
        <w:t xml:space="preserve"> 补偿资金支持的贷款项目包括以下几类：</w:t>
      </w:r>
    </w:p>
    <w:p w14:paraId="7E58C8CE">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CESI仿宋-GB2312" w:hAnsi="CESI仿宋-GB2312" w:eastAsia="CESI仿宋-GB2312" w:cs="CESI仿宋-GB2312"/>
          <w:b w:val="0"/>
          <w:bCs w:val="0"/>
          <w:color w:val="auto"/>
          <w:spacing w:val="14"/>
          <w:sz w:val="32"/>
          <w:szCs w:val="32"/>
          <w:highlight w:val="none"/>
          <w:lang w:eastAsia="zh-CN"/>
        </w:rPr>
        <w:t>（一）</w:t>
      </w:r>
      <w:r>
        <w:rPr>
          <w:rFonts w:hint="eastAsia" w:ascii="CESI仿宋-GB2312" w:hAnsi="CESI仿宋-GB2312" w:eastAsia="CESI仿宋-GB2312" w:cs="CESI仿宋-GB2312"/>
          <w:b w:val="0"/>
          <w:bCs w:val="0"/>
          <w:color w:val="auto"/>
          <w:spacing w:val="14"/>
          <w:sz w:val="32"/>
          <w:szCs w:val="32"/>
          <w:highlight w:val="none"/>
        </w:rPr>
        <w:t>合作银行为科技型</w:t>
      </w:r>
      <w:r>
        <w:rPr>
          <w:rFonts w:hint="eastAsia" w:ascii="CESI仿宋-GB2312" w:hAnsi="CESI仿宋-GB2312" w:eastAsia="CESI仿宋-GB2312" w:cs="CESI仿宋-GB2312"/>
          <w:b w:val="0"/>
          <w:bCs w:val="0"/>
          <w:color w:val="auto"/>
          <w:spacing w:val="14"/>
          <w:sz w:val="32"/>
          <w:szCs w:val="32"/>
          <w:highlight w:val="none"/>
          <w:lang w:eastAsia="zh-CN"/>
        </w:rPr>
        <w:t>中小企业</w:t>
      </w:r>
      <w:r>
        <w:rPr>
          <w:rFonts w:hint="eastAsia" w:ascii="CESI仿宋-GB2312" w:hAnsi="CESI仿宋-GB2312" w:eastAsia="CESI仿宋-GB2312" w:cs="CESI仿宋-GB2312"/>
          <w:b w:val="0"/>
          <w:bCs w:val="0"/>
          <w:color w:val="auto"/>
          <w:spacing w:val="14"/>
          <w:sz w:val="32"/>
          <w:szCs w:val="32"/>
          <w:highlight w:val="none"/>
        </w:rPr>
        <w:t>发放的无抵押、无担保的信用贷款。</w:t>
      </w:r>
    </w:p>
    <w:p w14:paraId="0ABBEEF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eastAsia="zh-CN"/>
        </w:rPr>
      </w:pPr>
      <w:r>
        <w:rPr>
          <w:rFonts w:hint="eastAsia" w:ascii="CESI仿宋-GB2312" w:hAnsi="CESI仿宋-GB2312" w:eastAsia="CESI仿宋-GB2312" w:cs="CESI仿宋-GB2312"/>
          <w:b w:val="0"/>
          <w:bCs w:val="0"/>
          <w:color w:val="auto"/>
          <w:spacing w:val="14"/>
          <w:sz w:val="32"/>
          <w:szCs w:val="32"/>
          <w:highlight w:val="none"/>
          <w:lang w:val="en-US" w:eastAsia="zh-CN"/>
        </w:rPr>
        <w:t>（二）</w:t>
      </w:r>
      <w:r>
        <w:rPr>
          <w:rFonts w:hint="eastAsia" w:ascii="CESI仿宋-GB2312" w:hAnsi="CESI仿宋-GB2312" w:eastAsia="CESI仿宋-GB2312" w:cs="CESI仿宋-GB2312"/>
          <w:b w:val="0"/>
          <w:bCs w:val="0"/>
          <w:color w:val="auto"/>
          <w:spacing w:val="14"/>
          <w:sz w:val="32"/>
          <w:szCs w:val="32"/>
          <w:highlight w:val="none"/>
        </w:rPr>
        <w:t>科技型</w:t>
      </w:r>
      <w:r>
        <w:rPr>
          <w:rFonts w:hint="eastAsia" w:ascii="CESI仿宋-GB2312" w:hAnsi="CESI仿宋-GB2312" w:eastAsia="CESI仿宋-GB2312" w:cs="CESI仿宋-GB2312"/>
          <w:b w:val="0"/>
          <w:bCs w:val="0"/>
          <w:color w:val="auto"/>
          <w:spacing w:val="14"/>
          <w:sz w:val="32"/>
          <w:szCs w:val="32"/>
          <w:highlight w:val="none"/>
          <w:lang w:eastAsia="zh-CN"/>
        </w:rPr>
        <w:t>中小企业</w:t>
      </w:r>
      <w:r>
        <w:rPr>
          <w:rFonts w:hint="eastAsia" w:ascii="CESI仿宋-GB2312" w:hAnsi="CESI仿宋-GB2312" w:eastAsia="CESI仿宋-GB2312" w:cs="CESI仿宋-GB2312"/>
          <w:b w:val="0"/>
          <w:bCs w:val="0"/>
          <w:color w:val="auto"/>
          <w:spacing w:val="14"/>
          <w:sz w:val="32"/>
          <w:szCs w:val="32"/>
          <w:highlight w:val="none"/>
        </w:rPr>
        <w:t>首次从</w:t>
      </w:r>
      <w:r>
        <w:rPr>
          <w:rFonts w:hint="eastAsia" w:ascii="CESI仿宋-GB2312" w:hAnsi="CESI仿宋-GB2312" w:eastAsia="CESI仿宋-GB2312" w:cs="CESI仿宋-GB2312"/>
          <w:b w:val="0"/>
          <w:bCs w:val="0"/>
          <w:color w:val="auto"/>
          <w:spacing w:val="14"/>
          <w:sz w:val="32"/>
          <w:szCs w:val="32"/>
          <w:highlight w:val="none"/>
          <w:lang w:eastAsia="zh-CN"/>
        </w:rPr>
        <w:t>银行业</w:t>
      </w:r>
      <w:r>
        <w:rPr>
          <w:rFonts w:hint="eastAsia" w:ascii="CESI仿宋-GB2312" w:hAnsi="CESI仿宋-GB2312" w:eastAsia="CESI仿宋-GB2312" w:cs="CESI仿宋-GB2312"/>
          <w:b w:val="0"/>
          <w:bCs w:val="0"/>
          <w:color w:val="auto"/>
          <w:spacing w:val="14"/>
          <w:sz w:val="32"/>
          <w:szCs w:val="32"/>
          <w:highlight w:val="none"/>
        </w:rPr>
        <w:t>金融机构获得、在同一贷款合同项下的贷款</w:t>
      </w:r>
      <w:r>
        <w:rPr>
          <w:rFonts w:hint="eastAsia" w:ascii="CESI仿宋-GB2312" w:hAnsi="CESI仿宋-GB2312" w:eastAsia="CESI仿宋-GB2312" w:cs="CESI仿宋-GB2312"/>
          <w:b w:val="0"/>
          <w:bCs w:val="0"/>
          <w:color w:val="auto"/>
          <w:spacing w:val="14"/>
          <w:sz w:val="32"/>
          <w:szCs w:val="32"/>
          <w:highlight w:val="none"/>
          <w:lang w:eastAsia="zh-CN"/>
        </w:rPr>
        <w:t>。</w:t>
      </w:r>
    </w:p>
    <w:p w14:paraId="6912AAD7">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（三）科技型中小企业</w:t>
      </w:r>
      <w:r>
        <w:rPr>
          <w:rFonts w:hint="eastAsia" w:ascii="CESI仿宋-GB2312" w:hAnsi="CESI仿宋-GB2312" w:eastAsia="CESI仿宋-GB2312" w:cs="CESI仿宋-GB2312"/>
          <w:b w:val="0"/>
          <w:bCs w:val="0"/>
          <w:color w:val="auto"/>
          <w:spacing w:val="14"/>
          <w:sz w:val="32"/>
          <w:szCs w:val="32"/>
          <w:highlight w:val="none"/>
          <w:lang w:val="en-US" w:eastAsia="en-US"/>
        </w:rPr>
        <w:t>以商标权、专利权、著作权、股权、应收账款等权利质押取得的质押贷款。</w:t>
      </w:r>
    </w:p>
    <w:p w14:paraId="0727D7DA">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000000" w:themeColor="text1"/>
          <w:spacing w:val="14"/>
          <w:sz w:val="32"/>
          <w:szCs w:val="32"/>
          <w:highlight w:val="none"/>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pacing w:val="14"/>
          <w:sz w:val="32"/>
          <w:szCs w:val="32"/>
          <w:highlight w:val="none"/>
          <w:lang w:val="en-US" w:eastAsia="zh-CN"/>
          <w14:textFill>
            <w14:solidFill>
              <w14:schemeClr w14:val="tx1"/>
            </w14:solidFill>
          </w14:textFill>
        </w:rPr>
        <w:t>（四）科技型中小企业</w:t>
      </w:r>
      <w:r>
        <w:rPr>
          <w:rFonts w:hint="eastAsia" w:ascii="CESI仿宋-GB2312" w:hAnsi="CESI仿宋-GB2312" w:eastAsia="CESI仿宋-GB2312" w:cs="CESI仿宋-GB2312"/>
          <w:b w:val="0"/>
          <w:bCs w:val="0"/>
          <w:color w:val="000000" w:themeColor="text1"/>
          <w:spacing w:val="14"/>
          <w:sz w:val="32"/>
          <w:szCs w:val="32"/>
          <w:highlight w:val="none"/>
          <w:lang w:val="en-US" w:eastAsia="en-US"/>
          <w14:textFill>
            <w14:solidFill>
              <w14:schemeClr w14:val="tx1"/>
            </w14:solidFill>
          </w14:textFill>
        </w:rPr>
        <w:t>以自身信用作为保险标的投保，获得保险公司为企业还款能力提供保险，并以此获得的信用保证保险贷款。</w:t>
      </w:r>
    </w:p>
    <w:p w14:paraId="7AB7970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（五）科技型中小企业</w:t>
      </w:r>
      <w:r>
        <w:rPr>
          <w:rFonts w:hint="eastAsia" w:ascii="CESI仿宋-GB2312" w:hAnsi="CESI仿宋-GB2312" w:eastAsia="CESI仿宋-GB2312" w:cs="CESI仿宋-GB2312"/>
          <w:b w:val="0"/>
          <w:bCs w:val="0"/>
          <w:color w:val="auto"/>
          <w:spacing w:val="14"/>
          <w:sz w:val="32"/>
          <w:szCs w:val="32"/>
          <w:highlight w:val="none"/>
          <w:lang w:val="en-US" w:eastAsia="en-US"/>
        </w:rPr>
        <w:t>向合作银行申请用于定向购置</w:t>
      </w:r>
      <w:r>
        <w:rPr>
          <w:rFonts w:hint="default" w:ascii="Times New Roman" w:hAnsi="Times New Roman" w:eastAsia="CESI仿宋-GB2312" w:cs="Times New Roman"/>
          <w:b w:val="0"/>
          <w:bCs w:val="0"/>
          <w:color w:val="auto"/>
          <w:spacing w:val="14"/>
          <w:sz w:val="32"/>
          <w:szCs w:val="32"/>
          <w:highlight w:val="none"/>
          <w:lang w:val="en-US" w:eastAsia="en-US"/>
        </w:rPr>
        <w:t>价值20万</w:t>
      </w:r>
      <w:r>
        <w:rPr>
          <w:rFonts w:hint="eastAsia" w:ascii="CESI仿宋-GB2312" w:hAnsi="CESI仿宋-GB2312" w:eastAsia="CESI仿宋-GB2312" w:cs="CESI仿宋-GB2312"/>
          <w:b w:val="0"/>
          <w:bCs w:val="0"/>
          <w:color w:val="auto"/>
          <w:spacing w:val="14"/>
          <w:sz w:val="32"/>
          <w:szCs w:val="32"/>
          <w:highlight w:val="none"/>
          <w:lang w:val="en-US" w:eastAsia="en-US"/>
        </w:rPr>
        <w:t>元以上并纳入大型科学仪器共享平台面向社会开放服务的仪器设备的信用贷款。</w:t>
      </w:r>
    </w:p>
    <w:p w14:paraId="1043A50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（六）</w:t>
      </w:r>
      <w:r>
        <w:rPr>
          <w:rFonts w:hint="eastAsia" w:ascii="CESI仿宋-GB2312" w:hAnsi="CESI仿宋-GB2312" w:eastAsia="CESI仿宋-GB2312" w:cs="CESI仿宋-GB2312"/>
          <w:b w:val="0"/>
          <w:bCs w:val="0"/>
          <w:color w:val="auto"/>
          <w:spacing w:val="14"/>
          <w:sz w:val="32"/>
          <w:szCs w:val="32"/>
          <w:highlight w:val="none"/>
          <w:lang w:val="en-US" w:eastAsia="en-US"/>
        </w:rPr>
        <w:t>以动产、不动产为抵押物的抵押贷款。</w:t>
      </w:r>
    </w:p>
    <w:p w14:paraId="6AE104FC">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（七）</w:t>
      </w:r>
      <w:r>
        <w:rPr>
          <w:rFonts w:hint="eastAsia" w:ascii="CESI仿宋-GB2312" w:hAnsi="CESI仿宋-GB2312" w:eastAsia="CESI仿宋-GB2312" w:cs="CESI仿宋-GB2312"/>
          <w:b w:val="0"/>
          <w:bCs w:val="0"/>
          <w:color w:val="auto"/>
          <w:spacing w:val="14"/>
          <w:sz w:val="32"/>
          <w:szCs w:val="32"/>
          <w:highlight w:val="none"/>
          <w:lang w:val="en-US" w:eastAsia="en-US"/>
        </w:rPr>
        <w:t>由合作各方约定可纳入补偿范围的其他贷款等。</w:t>
      </w:r>
    </w:p>
    <w:p w14:paraId="202E670B">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en-US"/>
        </w:rPr>
        <w:t>已获得政府性融资担保公司担保以及享受其他同类风险补偿政策的贷款不纳入本细则确定的补偿范围。</w:t>
      </w:r>
    </w:p>
    <w:p w14:paraId="2F42722A">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第十</w:t>
      </w:r>
      <w:r>
        <w:rPr>
          <w:rFonts w:hint="eastAsia" w:ascii="仿宋" w:hAnsi="仿宋" w:eastAsia="仿宋" w:cstheme="minorBidi"/>
          <w:b/>
          <w:bCs/>
          <w:snapToGrid/>
          <w:color w:val="auto"/>
          <w:spacing w:val="0"/>
          <w:kern w:val="2"/>
          <w:sz w:val="32"/>
          <w:szCs w:val="32"/>
          <w:highlight w:val="none"/>
          <w:lang w:val="en-US" w:eastAsia="zh-CN"/>
        </w:rPr>
        <w:t>一</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lang w:val="en-US" w:eastAsia="en-US"/>
        </w:rPr>
        <w:t xml:space="preserve"> 申请补偿资金的贷款项目，必须同时符合以下条件：</w:t>
      </w:r>
    </w:p>
    <w:p w14:paraId="15C8513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（一）</w:t>
      </w:r>
      <w:r>
        <w:rPr>
          <w:rFonts w:hint="eastAsia" w:ascii="CESI仿宋-GB2312" w:hAnsi="CESI仿宋-GB2312" w:eastAsia="CESI仿宋-GB2312" w:cs="CESI仿宋-GB2312"/>
          <w:b w:val="0"/>
          <w:bCs w:val="0"/>
          <w:color w:val="auto"/>
          <w:spacing w:val="14"/>
          <w:sz w:val="32"/>
          <w:szCs w:val="32"/>
          <w:highlight w:val="none"/>
          <w:lang w:val="en-US" w:eastAsia="en-US"/>
        </w:rPr>
        <w:t>符合国家及</w:t>
      </w:r>
      <w:r>
        <w:rPr>
          <w:rFonts w:hint="eastAsia" w:ascii="CESI仿宋-GB2312" w:hAnsi="CESI仿宋-GB2312" w:eastAsia="CESI仿宋-GB2312" w:cs="CESI仿宋-GB2312"/>
          <w:b w:val="0"/>
          <w:bCs w:val="0"/>
          <w:color w:val="auto"/>
          <w:spacing w:val="14"/>
          <w:sz w:val="32"/>
          <w:szCs w:val="32"/>
          <w:highlight w:val="none"/>
          <w:lang w:val="en-US" w:eastAsia="zh-CN"/>
        </w:rPr>
        <w:t>河北省廊坊市</w:t>
      </w:r>
      <w:r>
        <w:rPr>
          <w:rFonts w:hint="eastAsia" w:ascii="CESI仿宋-GB2312" w:hAnsi="CESI仿宋-GB2312" w:eastAsia="CESI仿宋-GB2312" w:cs="CESI仿宋-GB2312"/>
          <w:b w:val="0"/>
          <w:bCs w:val="0"/>
          <w:color w:val="auto"/>
          <w:spacing w:val="14"/>
          <w:sz w:val="32"/>
          <w:szCs w:val="32"/>
          <w:highlight w:val="none"/>
          <w:lang w:val="en-US" w:eastAsia="en-US"/>
        </w:rPr>
        <w:t>产业发展政策的要求。</w:t>
      </w:r>
    </w:p>
    <w:p w14:paraId="34565736">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（二）科技型中小企业</w:t>
      </w:r>
      <w:r>
        <w:rPr>
          <w:rFonts w:hint="eastAsia" w:ascii="CESI仿宋-GB2312" w:hAnsi="CESI仿宋-GB2312" w:eastAsia="CESI仿宋-GB2312" w:cs="CESI仿宋-GB2312"/>
          <w:b w:val="0"/>
          <w:bCs w:val="0"/>
          <w:color w:val="auto"/>
          <w:spacing w:val="14"/>
          <w:sz w:val="32"/>
          <w:szCs w:val="32"/>
          <w:highlight w:val="none"/>
          <w:lang w:val="en-US" w:eastAsia="en-US"/>
        </w:rPr>
        <w:t>与合作银行之间发生的贷款。</w:t>
      </w:r>
    </w:p>
    <w:p w14:paraId="55D570F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default" w:ascii="Times New Roman" w:hAnsi="Times New Roman" w:eastAsia="CESI仿宋-GB2312" w:cs="Times New Roman"/>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（三）</w:t>
      </w:r>
      <w:r>
        <w:rPr>
          <w:rFonts w:hint="eastAsia" w:ascii="CESI仿宋-GB2312" w:hAnsi="CESI仿宋-GB2312" w:eastAsia="CESI仿宋-GB2312" w:cs="CESI仿宋-GB2312"/>
          <w:b w:val="0"/>
          <w:bCs w:val="0"/>
          <w:color w:val="auto"/>
          <w:spacing w:val="14"/>
          <w:sz w:val="32"/>
          <w:szCs w:val="32"/>
          <w:highlight w:val="none"/>
          <w:lang w:val="en-US" w:eastAsia="en-US"/>
        </w:rPr>
        <w:t>单个企业贷款原则上不</w:t>
      </w:r>
      <w:r>
        <w:rPr>
          <w:rFonts w:hint="default" w:ascii="Times New Roman" w:hAnsi="Times New Roman" w:eastAsia="CESI仿宋-GB2312" w:cs="Times New Roman"/>
          <w:b w:val="0"/>
          <w:bCs w:val="0"/>
          <w:color w:val="auto"/>
          <w:spacing w:val="14"/>
          <w:sz w:val="32"/>
          <w:szCs w:val="32"/>
          <w:highlight w:val="none"/>
          <w:lang w:val="en-US" w:eastAsia="en-US"/>
        </w:rPr>
        <w:t>超过1000万元，贷款期限为一年期</w:t>
      </w:r>
      <w:r>
        <w:rPr>
          <w:rFonts w:hint="eastAsia" w:ascii="Times New Roman" w:hAnsi="Times New Roman" w:eastAsia="CESI仿宋-GB2312" w:cs="Times New Roman"/>
          <w:b w:val="0"/>
          <w:bCs w:val="0"/>
          <w:color w:val="auto"/>
          <w:spacing w:val="14"/>
          <w:sz w:val="32"/>
          <w:szCs w:val="32"/>
          <w:highlight w:val="none"/>
          <w:lang w:val="en-US" w:eastAsia="zh-CN"/>
        </w:rPr>
        <w:t>（</w:t>
      </w:r>
      <w:r>
        <w:rPr>
          <w:rFonts w:hint="default" w:ascii="Times New Roman" w:hAnsi="Times New Roman" w:eastAsia="CESI仿宋-GB2312" w:cs="Times New Roman"/>
          <w:b w:val="0"/>
          <w:bCs w:val="0"/>
          <w:color w:val="auto"/>
          <w:spacing w:val="14"/>
          <w:sz w:val="32"/>
          <w:szCs w:val="32"/>
          <w:highlight w:val="none"/>
          <w:lang w:val="en-US" w:eastAsia="en-US"/>
        </w:rPr>
        <w:t>含1年</w:t>
      </w:r>
      <w:r>
        <w:rPr>
          <w:rFonts w:hint="eastAsia" w:ascii="Times New Roman" w:hAnsi="Times New Roman" w:eastAsia="CESI仿宋-GB2312" w:cs="Times New Roman"/>
          <w:b w:val="0"/>
          <w:bCs w:val="0"/>
          <w:color w:val="auto"/>
          <w:spacing w:val="14"/>
          <w:sz w:val="32"/>
          <w:szCs w:val="32"/>
          <w:highlight w:val="none"/>
          <w:lang w:val="en-US" w:eastAsia="zh-CN"/>
        </w:rPr>
        <w:t>）</w:t>
      </w:r>
      <w:r>
        <w:rPr>
          <w:rFonts w:hint="default" w:ascii="Times New Roman" w:hAnsi="Times New Roman" w:eastAsia="CESI仿宋-GB2312" w:cs="Times New Roman"/>
          <w:b w:val="0"/>
          <w:bCs w:val="0"/>
          <w:color w:val="auto"/>
          <w:spacing w:val="14"/>
          <w:sz w:val="32"/>
          <w:szCs w:val="32"/>
          <w:highlight w:val="none"/>
          <w:lang w:val="en-US" w:eastAsia="en-US"/>
        </w:rPr>
        <w:t>以上。</w:t>
      </w:r>
    </w:p>
    <w:p w14:paraId="6EC20A92">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（四）</w:t>
      </w:r>
      <w:r>
        <w:rPr>
          <w:rFonts w:hint="eastAsia" w:ascii="CESI仿宋-GB2312" w:hAnsi="CESI仿宋-GB2312" w:eastAsia="CESI仿宋-GB2312" w:cs="CESI仿宋-GB2312"/>
          <w:b w:val="0"/>
          <w:bCs w:val="0"/>
          <w:color w:val="auto"/>
          <w:spacing w:val="14"/>
          <w:sz w:val="32"/>
          <w:szCs w:val="32"/>
          <w:highlight w:val="none"/>
          <w:lang w:val="en-US" w:eastAsia="en-US"/>
        </w:rPr>
        <w:t>不良项目需按《贷款风险分类指导原则》被确定为次级、可疑或损失类贷款，且遭受本金损失。</w:t>
      </w:r>
    </w:p>
    <w:p w14:paraId="3D945AF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第四章  补偿资金标准</w:t>
      </w:r>
    </w:p>
    <w:p w14:paraId="47B5228E">
      <w:pPr>
        <w:widowControl/>
        <w:spacing w:line="580" w:lineRule="exact"/>
        <w:ind w:firstLine="643" w:firstLineChars="200"/>
        <w:rPr>
          <w:rFonts w:hint="default" w:ascii="Times New Roman" w:hAnsi="Times New Roman" w:eastAsia="CESI仿宋-GB2312" w:cs="Times New Roman"/>
          <w:b w:val="0"/>
          <w:bCs w:val="0"/>
          <w:color w:val="auto"/>
          <w:spacing w:val="14"/>
          <w:sz w:val="32"/>
          <w:szCs w:val="32"/>
          <w:highlight w:val="none"/>
          <w:lang w:val="en-US" w:eastAsia="en-US"/>
        </w:rPr>
      </w:pPr>
      <w:r>
        <w:rPr>
          <w:rFonts w:hint="default" w:ascii="Times New Roman" w:hAnsi="Times New Roman" w:eastAsia="仿宋" w:cs="Times New Roman"/>
          <w:b/>
          <w:bCs/>
          <w:snapToGrid/>
          <w:color w:val="auto"/>
          <w:spacing w:val="0"/>
          <w:kern w:val="2"/>
          <w:sz w:val="32"/>
          <w:szCs w:val="32"/>
          <w:highlight w:val="none"/>
          <w:lang w:val="en-US" w:eastAsia="en-US"/>
        </w:rPr>
        <w:t>第十</w:t>
      </w:r>
      <w:r>
        <w:rPr>
          <w:rFonts w:hint="eastAsia" w:ascii="Times New Roman" w:hAnsi="Times New Roman" w:eastAsia="仿宋" w:cs="Times New Roman"/>
          <w:b/>
          <w:bCs/>
          <w:snapToGrid/>
          <w:color w:val="auto"/>
          <w:spacing w:val="0"/>
          <w:kern w:val="2"/>
          <w:sz w:val="32"/>
          <w:szCs w:val="32"/>
          <w:highlight w:val="none"/>
          <w:lang w:val="en-US" w:eastAsia="zh-CN"/>
        </w:rPr>
        <w:t>二</w:t>
      </w:r>
      <w:r>
        <w:rPr>
          <w:rFonts w:hint="default" w:ascii="Times New Roman" w:hAnsi="Times New Roman" w:eastAsia="仿宋" w:cs="Times New Roman"/>
          <w:b/>
          <w:bCs/>
          <w:snapToGrid/>
          <w:color w:val="auto"/>
          <w:spacing w:val="0"/>
          <w:kern w:val="2"/>
          <w:sz w:val="32"/>
          <w:szCs w:val="32"/>
          <w:highlight w:val="none"/>
          <w:lang w:val="en-US" w:eastAsia="en-US"/>
        </w:rPr>
        <w:t>条</w:t>
      </w:r>
      <w:r>
        <w:rPr>
          <w:rFonts w:hint="default" w:ascii="Times New Roman" w:hAnsi="Times New Roman" w:eastAsia="黑体" w:cs="Times New Roman"/>
          <w:snapToGrid w:val="0"/>
          <w:color w:val="auto"/>
          <w:spacing w:val="119"/>
          <w:kern w:val="0"/>
          <w:sz w:val="32"/>
          <w:szCs w:val="32"/>
          <w:highlight w:val="none"/>
          <w:lang w:val="en-US" w:eastAsia="en-US" w:bidi="ar-SA"/>
        </w:rPr>
        <w:t xml:space="preserve"> </w:t>
      </w:r>
      <w:r>
        <w:rPr>
          <w:rFonts w:hint="default" w:ascii="Times New Roman" w:hAnsi="Times New Roman" w:eastAsia="CESI仿宋-GB2312" w:cs="Times New Roman"/>
          <w:b w:val="0"/>
          <w:bCs w:val="0"/>
          <w:color w:val="auto"/>
          <w:spacing w:val="14"/>
          <w:sz w:val="32"/>
          <w:szCs w:val="32"/>
          <w:highlight w:val="none"/>
          <w:lang w:val="en-US" w:eastAsia="en-US"/>
        </w:rPr>
        <w:t>风险补偿资金标准：</w:t>
      </w:r>
    </w:p>
    <w:p w14:paraId="5CBDD93D">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Times New Roman" w:hAnsi="Times New Roman" w:eastAsia="CESI仿宋-GB2312" w:cs="Times New Roman"/>
          <w:b w:val="0"/>
          <w:bCs w:val="0"/>
          <w:color w:val="auto"/>
          <w:spacing w:val="14"/>
          <w:sz w:val="32"/>
          <w:szCs w:val="32"/>
          <w:highlight w:val="none"/>
          <w:lang w:val="en-US" w:eastAsia="zh-CN"/>
        </w:rPr>
      </w:pPr>
      <w:r>
        <w:rPr>
          <w:rFonts w:hint="default" w:ascii="Times New Roman" w:hAnsi="Times New Roman" w:eastAsia="CESI仿宋-GB2312" w:cs="Times New Roman"/>
          <w:b w:val="0"/>
          <w:bCs w:val="0"/>
          <w:color w:val="auto"/>
          <w:spacing w:val="14"/>
          <w:sz w:val="32"/>
          <w:szCs w:val="32"/>
          <w:highlight w:val="none"/>
          <w:lang w:val="en-US" w:eastAsia="en-US"/>
        </w:rPr>
        <w:t>对于第</w:t>
      </w:r>
      <w:r>
        <w:rPr>
          <w:rFonts w:hint="eastAsia" w:ascii="Times New Roman" w:hAnsi="Times New Roman" w:eastAsia="CESI仿宋-GB2312" w:cs="Times New Roman"/>
          <w:b w:val="0"/>
          <w:bCs w:val="0"/>
          <w:color w:val="auto"/>
          <w:spacing w:val="14"/>
          <w:sz w:val="32"/>
          <w:szCs w:val="32"/>
          <w:highlight w:val="none"/>
          <w:lang w:val="en-US" w:eastAsia="zh-CN"/>
        </w:rPr>
        <w:t>十</w:t>
      </w:r>
      <w:r>
        <w:rPr>
          <w:rFonts w:hint="default" w:ascii="Times New Roman" w:hAnsi="Times New Roman" w:eastAsia="CESI仿宋-GB2312" w:cs="Times New Roman"/>
          <w:b w:val="0"/>
          <w:bCs w:val="0"/>
          <w:color w:val="auto"/>
          <w:spacing w:val="14"/>
          <w:sz w:val="32"/>
          <w:szCs w:val="32"/>
          <w:highlight w:val="none"/>
          <w:lang w:val="en-US" w:eastAsia="en-US"/>
        </w:rPr>
        <w:t>条所指前</w:t>
      </w:r>
      <w:r>
        <w:rPr>
          <w:rFonts w:hint="eastAsia" w:ascii="Times New Roman" w:hAnsi="Times New Roman" w:eastAsia="CESI仿宋-GB2312" w:cs="Times New Roman"/>
          <w:b w:val="0"/>
          <w:bCs w:val="0"/>
          <w:color w:val="auto"/>
          <w:spacing w:val="14"/>
          <w:sz w:val="32"/>
          <w:szCs w:val="32"/>
          <w:highlight w:val="none"/>
          <w:lang w:val="en-US" w:eastAsia="zh-CN"/>
        </w:rPr>
        <w:t>五</w:t>
      </w:r>
      <w:r>
        <w:rPr>
          <w:rFonts w:hint="default" w:ascii="Times New Roman" w:hAnsi="Times New Roman" w:eastAsia="CESI仿宋-GB2312" w:cs="Times New Roman"/>
          <w:b w:val="0"/>
          <w:bCs w:val="0"/>
          <w:color w:val="auto"/>
          <w:spacing w:val="14"/>
          <w:sz w:val="32"/>
          <w:szCs w:val="32"/>
          <w:highlight w:val="none"/>
          <w:lang w:val="en-US" w:eastAsia="en-US"/>
        </w:rPr>
        <w:t>类贷款项目形</w:t>
      </w:r>
      <w:r>
        <w:rPr>
          <w:rFonts w:hint="default" w:ascii="CESI仿宋-GB2312" w:hAnsi="CESI仿宋-GB2312" w:eastAsia="CESI仿宋-GB2312" w:cs="CESI仿宋-GB2312"/>
          <w:b w:val="0"/>
          <w:bCs w:val="0"/>
          <w:color w:val="auto"/>
          <w:spacing w:val="14"/>
          <w:sz w:val="32"/>
          <w:szCs w:val="32"/>
          <w:highlight w:val="none"/>
          <w:lang w:val="en-US" w:eastAsia="en-US"/>
        </w:rPr>
        <w:t>成</w:t>
      </w:r>
      <w:r>
        <w:rPr>
          <w:rFonts w:hint="default" w:ascii="Times New Roman" w:hAnsi="Times New Roman" w:eastAsia="CESI仿宋-GB2312" w:cs="Times New Roman"/>
          <w:b w:val="0"/>
          <w:bCs w:val="0"/>
          <w:color w:val="auto"/>
          <w:spacing w:val="14"/>
          <w:sz w:val="32"/>
          <w:szCs w:val="32"/>
          <w:highlight w:val="none"/>
          <w:lang w:val="en-US" w:eastAsia="en-US"/>
        </w:rPr>
        <w:t>的不良贷款，按照不良贷款</w:t>
      </w:r>
      <w:r>
        <w:rPr>
          <w:rFonts w:hint="eastAsia" w:ascii="Times New Roman" w:hAnsi="Times New Roman" w:eastAsia="CESI仿宋-GB2312" w:cs="Times New Roman"/>
          <w:b w:val="0"/>
          <w:bCs w:val="0"/>
          <w:color w:val="auto"/>
          <w:spacing w:val="14"/>
          <w:sz w:val="32"/>
          <w:szCs w:val="32"/>
          <w:highlight w:val="none"/>
          <w:lang w:val="en-US" w:eastAsia="zh-CN"/>
        </w:rPr>
        <w:t>本金</w:t>
      </w:r>
      <w:r>
        <w:rPr>
          <w:rFonts w:hint="default" w:ascii="Times New Roman" w:hAnsi="Times New Roman" w:eastAsia="CESI仿宋-GB2312" w:cs="Times New Roman"/>
          <w:b w:val="0"/>
          <w:bCs w:val="0"/>
          <w:color w:val="auto"/>
          <w:spacing w:val="14"/>
          <w:sz w:val="32"/>
          <w:szCs w:val="32"/>
          <w:highlight w:val="none"/>
          <w:lang w:val="en-US" w:eastAsia="en-US"/>
        </w:rPr>
        <w:t>损失的30%进行</w:t>
      </w:r>
      <w:r>
        <w:rPr>
          <w:rFonts w:hint="eastAsia" w:ascii="Times New Roman" w:hAnsi="Times New Roman" w:eastAsia="CESI仿宋-GB2312" w:cs="Times New Roman"/>
          <w:b w:val="0"/>
          <w:bCs w:val="0"/>
          <w:color w:val="auto"/>
          <w:spacing w:val="14"/>
          <w:sz w:val="32"/>
          <w:szCs w:val="32"/>
          <w:highlight w:val="none"/>
          <w:lang w:val="en-US" w:eastAsia="zh-CN"/>
        </w:rPr>
        <w:t>补偿，总补偿金额不超过合作银行当年实际发放的</w:t>
      </w:r>
      <w:r>
        <w:rPr>
          <w:rFonts w:hint="default" w:ascii="Times New Roman" w:hAnsi="Times New Roman" w:eastAsia="CESI仿宋-GB2312" w:cs="Times New Roman"/>
          <w:b w:val="0"/>
          <w:bCs w:val="0"/>
          <w:color w:val="auto"/>
          <w:spacing w:val="14"/>
          <w:sz w:val="32"/>
          <w:szCs w:val="32"/>
          <w:highlight w:val="none"/>
          <w:lang w:val="en-US" w:eastAsia="en-US"/>
        </w:rPr>
        <w:t>该类科技企业</w:t>
      </w:r>
      <w:r>
        <w:rPr>
          <w:rFonts w:hint="eastAsia" w:ascii="Times New Roman" w:hAnsi="Times New Roman" w:eastAsia="CESI仿宋-GB2312" w:cs="Times New Roman"/>
          <w:b w:val="0"/>
          <w:bCs w:val="0"/>
          <w:color w:val="auto"/>
          <w:spacing w:val="14"/>
          <w:sz w:val="32"/>
          <w:szCs w:val="32"/>
          <w:highlight w:val="none"/>
          <w:lang w:val="en-US" w:eastAsia="zh-CN"/>
        </w:rPr>
        <w:t>贷款总额的4%</w:t>
      </w:r>
      <w:r>
        <w:rPr>
          <w:rFonts w:hint="default" w:ascii="Times New Roman" w:hAnsi="Times New Roman" w:eastAsia="CESI仿宋-GB2312" w:cs="Times New Roman"/>
          <w:b w:val="0"/>
          <w:bCs w:val="0"/>
          <w:color w:val="auto"/>
          <w:spacing w:val="14"/>
          <w:sz w:val="32"/>
          <w:szCs w:val="32"/>
          <w:highlight w:val="none"/>
          <w:lang w:val="en-US" w:eastAsia="en-US"/>
        </w:rPr>
        <w:t>;对于其他形式贷款形成的不良贷款，按照不良贷款</w:t>
      </w:r>
      <w:r>
        <w:rPr>
          <w:rFonts w:hint="eastAsia" w:ascii="Times New Roman" w:hAnsi="Times New Roman" w:eastAsia="CESI仿宋-GB2312" w:cs="Times New Roman"/>
          <w:b w:val="0"/>
          <w:bCs w:val="0"/>
          <w:color w:val="auto"/>
          <w:spacing w:val="14"/>
          <w:sz w:val="32"/>
          <w:szCs w:val="32"/>
          <w:highlight w:val="none"/>
          <w:lang w:val="en-US" w:eastAsia="zh-CN"/>
        </w:rPr>
        <w:t>本金</w:t>
      </w:r>
      <w:r>
        <w:rPr>
          <w:rFonts w:hint="default" w:ascii="Times New Roman" w:hAnsi="Times New Roman" w:eastAsia="CESI仿宋-GB2312" w:cs="Times New Roman"/>
          <w:b w:val="0"/>
          <w:bCs w:val="0"/>
          <w:color w:val="auto"/>
          <w:spacing w:val="14"/>
          <w:sz w:val="32"/>
          <w:szCs w:val="32"/>
          <w:highlight w:val="none"/>
          <w:lang w:val="en-US" w:eastAsia="en-US"/>
        </w:rPr>
        <w:t>损失的</w:t>
      </w:r>
      <w:r>
        <w:rPr>
          <w:rFonts w:hint="eastAsia" w:ascii="Times New Roman" w:hAnsi="Times New Roman" w:eastAsia="CESI仿宋-GB2312" w:cs="Times New Roman"/>
          <w:b w:val="0"/>
          <w:bCs w:val="0"/>
          <w:color w:val="auto"/>
          <w:spacing w:val="14"/>
          <w:sz w:val="32"/>
          <w:szCs w:val="32"/>
          <w:highlight w:val="none"/>
          <w:lang w:val="en-US" w:eastAsia="zh-CN"/>
        </w:rPr>
        <w:t>2</w:t>
      </w:r>
      <w:r>
        <w:rPr>
          <w:rFonts w:hint="default" w:ascii="Times New Roman" w:hAnsi="Times New Roman" w:eastAsia="CESI仿宋-GB2312" w:cs="Times New Roman"/>
          <w:b w:val="0"/>
          <w:bCs w:val="0"/>
          <w:color w:val="auto"/>
          <w:spacing w:val="14"/>
          <w:sz w:val="32"/>
          <w:szCs w:val="32"/>
          <w:highlight w:val="none"/>
          <w:lang w:val="en-US" w:eastAsia="en-US"/>
        </w:rPr>
        <w:t>0%进行</w:t>
      </w:r>
      <w:r>
        <w:rPr>
          <w:rFonts w:hint="eastAsia" w:ascii="Times New Roman" w:hAnsi="Times New Roman" w:eastAsia="CESI仿宋-GB2312" w:cs="Times New Roman"/>
          <w:b w:val="0"/>
          <w:bCs w:val="0"/>
          <w:color w:val="auto"/>
          <w:spacing w:val="14"/>
          <w:sz w:val="32"/>
          <w:szCs w:val="32"/>
          <w:highlight w:val="none"/>
          <w:lang w:val="en-US" w:eastAsia="zh-CN"/>
        </w:rPr>
        <w:t>补偿，</w:t>
      </w:r>
      <w:r>
        <w:rPr>
          <w:rFonts w:hint="default" w:ascii="Times New Roman" w:hAnsi="Times New Roman" w:eastAsia="CESI仿宋-GB2312" w:cs="Times New Roman"/>
          <w:b w:val="0"/>
          <w:bCs w:val="0"/>
          <w:color w:val="auto"/>
          <w:spacing w:val="14"/>
          <w:sz w:val="32"/>
          <w:szCs w:val="32"/>
          <w:highlight w:val="none"/>
          <w:lang w:val="en-US" w:eastAsia="en-US"/>
        </w:rPr>
        <w:t>总</w:t>
      </w:r>
      <w:r>
        <w:rPr>
          <w:rFonts w:hint="eastAsia" w:ascii="Times New Roman" w:hAnsi="Times New Roman" w:eastAsia="CESI仿宋-GB2312" w:cs="Times New Roman"/>
          <w:b w:val="0"/>
          <w:bCs w:val="0"/>
          <w:color w:val="auto"/>
          <w:spacing w:val="14"/>
          <w:sz w:val="32"/>
          <w:szCs w:val="32"/>
          <w:highlight w:val="none"/>
          <w:lang w:val="en-US" w:eastAsia="zh-CN"/>
        </w:rPr>
        <w:t>补偿</w:t>
      </w:r>
      <w:r>
        <w:rPr>
          <w:rFonts w:hint="default" w:ascii="Times New Roman" w:hAnsi="Times New Roman" w:eastAsia="CESI仿宋-GB2312" w:cs="Times New Roman"/>
          <w:b w:val="0"/>
          <w:bCs w:val="0"/>
          <w:color w:val="auto"/>
          <w:spacing w:val="14"/>
          <w:sz w:val="32"/>
          <w:szCs w:val="32"/>
          <w:highlight w:val="none"/>
          <w:lang w:val="en-US" w:eastAsia="en-US"/>
        </w:rPr>
        <w:t>金额不超过合作银行当年实际发放的该类科技企业其他形式贷款总额的3%。每家银行每年补偿不超过200万元</w:t>
      </w:r>
      <w:r>
        <w:rPr>
          <w:rFonts w:hint="eastAsia" w:ascii="Times New Roman" w:hAnsi="Times New Roman" w:eastAsia="CESI仿宋-GB2312" w:cs="Times New Roman"/>
          <w:b w:val="0"/>
          <w:bCs w:val="0"/>
          <w:color w:val="auto"/>
          <w:spacing w:val="14"/>
          <w:sz w:val="32"/>
          <w:szCs w:val="32"/>
          <w:highlight w:val="none"/>
          <w:lang w:val="en-US" w:eastAsia="zh-CN"/>
        </w:rPr>
        <w:t>（含），超出部分不予补偿</w:t>
      </w:r>
      <w:r>
        <w:rPr>
          <w:rFonts w:hint="default" w:ascii="Times New Roman" w:hAnsi="Times New Roman" w:eastAsia="CESI仿宋-GB2312" w:cs="Times New Roman"/>
          <w:b w:val="0"/>
          <w:bCs w:val="0"/>
          <w:color w:val="auto"/>
          <w:spacing w:val="14"/>
          <w:sz w:val="32"/>
          <w:szCs w:val="32"/>
          <w:highlight w:val="none"/>
          <w:lang w:val="en-US" w:eastAsia="en-US"/>
        </w:rPr>
        <w:t>。</w:t>
      </w:r>
    </w:p>
    <w:p w14:paraId="7BA9B3C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第五章  资金申请及受理程序</w:t>
      </w:r>
    </w:p>
    <w:p w14:paraId="3D92104F">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十三</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lang w:val="en-US" w:eastAsia="en-US"/>
        </w:rPr>
        <w:t xml:space="preserve"> 合作银行在开展此项业务时，应明确贷款种类范围，并出具书面材料承诺对提供的申请材料的真实、完整、合法性负责。</w:t>
      </w:r>
      <w:r>
        <w:rPr>
          <w:rFonts w:hint="eastAsia" w:ascii="CESI仿宋-GB2312" w:hAnsi="CESI仿宋-GB2312" w:eastAsia="CESI仿宋-GB2312" w:cs="CESI仿宋-GB2312"/>
          <w:b w:val="0"/>
          <w:bCs w:val="0"/>
          <w:color w:val="auto"/>
          <w:spacing w:val="14"/>
          <w:sz w:val="32"/>
          <w:szCs w:val="32"/>
          <w:highlight w:val="none"/>
          <w:lang w:val="en-US" w:eastAsia="zh-CN"/>
        </w:rPr>
        <w:t>市科技局</w:t>
      </w:r>
      <w:r>
        <w:rPr>
          <w:rFonts w:hint="eastAsia" w:ascii="CESI仿宋-GB2312" w:hAnsi="CESI仿宋-GB2312" w:eastAsia="CESI仿宋-GB2312" w:cs="CESI仿宋-GB2312"/>
          <w:b w:val="0"/>
          <w:bCs w:val="0"/>
          <w:color w:val="auto"/>
          <w:spacing w:val="14"/>
          <w:sz w:val="32"/>
          <w:szCs w:val="32"/>
          <w:highlight w:val="none"/>
          <w:lang w:val="en-US" w:eastAsia="en-US"/>
        </w:rPr>
        <w:t>对项目是否符合本实施细则第</w:t>
      </w:r>
      <w:r>
        <w:rPr>
          <w:rFonts w:hint="eastAsia" w:ascii="CESI仿宋-GB2312" w:hAnsi="CESI仿宋-GB2312" w:eastAsia="CESI仿宋-GB2312" w:cs="CESI仿宋-GB2312"/>
          <w:b w:val="0"/>
          <w:bCs w:val="0"/>
          <w:color w:val="auto"/>
          <w:spacing w:val="14"/>
          <w:sz w:val="32"/>
          <w:szCs w:val="32"/>
          <w:highlight w:val="none"/>
          <w:lang w:val="en-US" w:eastAsia="zh-CN"/>
        </w:rPr>
        <w:t>十</w:t>
      </w:r>
      <w:r>
        <w:rPr>
          <w:rFonts w:hint="eastAsia" w:ascii="CESI仿宋-GB2312" w:hAnsi="CESI仿宋-GB2312" w:eastAsia="CESI仿宋-GB2312" w:cs="CESI仿宋-GB2312"/>
          <w:b w:val="0"/>
          <w:bCs w:val="0"/>
          <w:color w:val="auto"/>
          <w:spacing w:val="14"/>
          <w:sz w:val="32"/>
          <w:szCs w:val="32"/>
          <w:highlight w:val="none"/>
          <w:lang w:val="en-US" w:eastAsia="en-US"/>
        </w:rPr>
        <w:t>条、第十</w:t>
      </w:r>
      <w:r>
        <w:rPr>
          <w:rFonts w:hint="eastAsia" w:ascii="CESI仿宋-GB2312" w:hAnsi="CESI仿宋-GB2312" w:eastAsia="CESI仿宋-GB2312" w:cs="CESI仿宋-GB2312"/>
          <w:b w:val="0"/>
          <w:bCs w:val="0"/>
          <w:color w:val="auto"/>
          <w:spacing w:val="14"/>
          <w:sz w:val="32"/>
          <w:szCs w:val="32"/>
          <w:highlight w:val="none"/>
          <w:lang w:val="en-US" w:eastAsia="zh-CN"/>
        </w:rPr>
        <w:t>一</w:t>
      </w:r>
      <w:r>
        <w:rPr>
          <w:rFonts w:hint="eastAsia" w:ascii="CESI仿宋-GB2312" w:hAnsi="CESI仿宋-GB2312" w:eastAsia="CESI仿宋-GB2312" w:cs="CESI仿宋-GB2312"/>
          <w:b w:val="0"/>
          <w:bCs w:val="0"/>
          <w:color w:val="auto"/>
          <w:spacing w:val="14"/>
          <w:sz w:val="32"/>
          <w:szCs w:val="32"/>
          <w:highlight w:val="none"/>
          <w:lang w:val="en-US" w:eastAsia="en-US"/>
        </w:rPr>
        <w:t>条要求进行审核。</w:t>
      </w:r>
    </w:p>
    <w:p w14:paraId="7D5725D3">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十四</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lang w:val="en-US" w:eastAsia="en-US"/>
        </w:rPr>
        <w:t xml:space="preserve"> 合作银行应在每</w:t>
      </w:r>
      <w:r>
        <w:rPr>
          <w:rFonts w:hint="default" w:ascii="Times New Roman" w:hAnsi="Times New Roman" w:eastAsia="CESI仿宋-GB2312" w:cs="Times New Roman"/>
          <w:b w:val="0"/>
          <w:bCs w:val="0"/>
          <w:color w:val="auto"/>
          <w:spacing w:val="14"/>
          <w:sz w:val="32"/>
          <w:szCs w:val="32"/>
          <w:highlight w:val="none"/>
          <w:lang w:val="en-US" w:eastAsia="en-US"/>
        </w:rPr>
        <w:t>年1月31日</w:t>
      </w:r>
      <w:r>
        <w:rPr>
          <w:rFonts w:hint="eastAsia" w:ascii="CESI仿宋-GB2312" w:hAnsi="CESI仿宋-GB2312" w:eastAsia="CESI仿宋-GB2312" w:cs="CESI仿宋-GB2312"/>
          <w:b w:val="0"/>
          <w:bCs w:val="0"/>
          <w:color w:val="auto"/>
          <w:spacing w:val="14"/>
          <w:sz w:val="32"/>
          <w:szCs w:val="32"/>
          <w:highlight w:val="none"/>
          <w:lang w:val="en-US" w:eastAsia="en-US"/>
        </w:rPr>
        <w:t>前，根据</w:t>
      </w:r>
      <w:r>
        <w:rPr>
          <w:rFonts w:hint="eastAsia" w:ascii="CESI仿宋-GB2312" w:hAnsi="CESI仿宋-GB2312" w:eastAsia="CESI仿宋-GB2312" w:cs="CESI仿宋-GB2312"/>
          <w:b w:val="0"/>
          <w:bCs w:val="0"/>
          <w:color w:val="auto"/>
          <w:spacing w:val="14"/>
          <w:sz w:val="32"/>
          <w:szCs w:val="32"/>
          <w:highlight w:val="none"/>
          <w:lang w:val="en-US" w:eastAsia="zh-CN"/>
        </w:rPr>
        <w:t>市科技局</w:t>
      </w:r>
      <w:r>
        <w:rPr>
          <w:rFonts w:hint="eastAsia" w:ascii="CESI仿宋-GB2312" w:hAnsi="CESI仿宋-GB2312" w:eastAsia="CESI仿宋-GB2312" w:cs="CESI仿宋-GB2312"/>
          <w:b w:val="0"/>
          <w:bCs w:val="0"/>
          <w:color w:val="auto"/>
          <w:spacing w:val="14"/>
          <w:sz w:val="32"/>
          <w:szCs w:val="32"/>
          <w:highlight w:val="none"/>
          <w:lang w:val="en-US" w:eastAsia="en-US"/>
        </w:rPr>
        <w:t>要求报送上一年度科技</w:t>
      </w:r>
      <w:r>
        <w:rPr>
          <w:rFonts w:hint="eastAsia" w:ascii="CESI仿宋-GB2312" w:hAnsi="CESI仿宋-GB2312" w:eastAsia="CESI仿宋-GB2312" w:cs="CESI仿宋-GB2312"/>
          <w:b w:val="0"/>
          <w:bCs w:val="0"/>
          <w:color w:val="auto"/>
          <w:spacing w:val="14"/>
          <w:sz w:val="32"/>
          <w:szCs w:val="32"/>
          <w:highlight w:val="none"/>
          <w:lang w:val="en-US" w:eastAsia="zh-CN"/>
        </w:rPr>
        <w:t>型中小企业</w:t>
      </w:r>
      <w:r>
        <w:rPr>
          <w:rFonts w:hint="eastAsia" w:ascii="CESI仿宋-GB2312" w:hAnsi="CESI仿宋-GB2312" w:eastAsia="CESI仿宋-GB2312" w:cs="CESI仿宋-GB2312"/>
          <w:b w:val="0"/>
          <w:bCs w:val="0"/>
          <w:color w:val="auto"/>
          <w:spacing w:val="14"/>
          <w:sz w:val="32"/>
          <w:szCs w:val="32"/>
          <w:highlight w:val="none"/>
          <w:lang w:val="en-US" w:eastAsia="en-US"/>
        </w:rPr>
        <w:t>贷款业务的开展情况，并报送申请</w:t>
      </w:r>
      <w:r>
        <w:rPr>
          <w:rFonts w:hint="eastAsia" w:ascii="CESI仿宋-GB2312" w:hAnsi="CESI仿宋-GB2312" w:eastAsia="CESI仿宋-GB2312" w:cs="CESI仿宋-GB2312"/>
          <w:b w:val="0"/>
          <w:bCs w:val="0"/>
          <w:color w:val="auto"/>
          <w:spacing w:val="14"/>
          <w:sz w:val="32"/>
          <w:szCs w:val="32"/>
          <w:highlight w:val="none"/>
          <w:lang w:val="en-US" w:eastAsia="zh-CN"/>
        </w:rPr>
        <w:t>补偿资金</w:t>
      </w:r>
      <w:r>
        <w:rPr>
          <w:rFonts w:hint="eastAsia" w:ascii="CESI仿宋-GB2312" w:hAnsi="CESI仿宋-GB2312" w:eastAsia="CESI仿宋-GB2312" w:cs="CESI仿宋-GB2312"/>
          <w:b w:val="0"/>
          <w:bCs w:val="0"/>
          <w:color w:val="auto"/>
          <w:spacing w:val="14"/>
          <w:sz w:val="32"/>
          <w:szCs w:val="32"/>
          <w:highlight w:val="none"/>
          <w:lang w:val="en-US" w:eastAsia="en-US"/>
        </w:rPr>
        <w:t>的有关材料。</w:t>
      </w:r>
    </w:p>
    <w:p w14:paraId="3DDD020B">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zh-CN"/>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十五</w:t>
      </w:r>
      <w:r>
        <w:rPr>
          <w:rFonts w:hint="eastAsia" w:ascii="仿宋" w:hAnsi="仿宋" w:eastAsia="仿宋" w:cstheme="minorBidi"/>
          <w:b/>
          <w:bCs/>
          <w:snapToGrid/>
          <w:color w:val="auto"/>
          <w:spacing w:val="0"/>
          <w:kern w:val="2"/>
          <w:sz w:val="32"/>
          <w:szCs w:val="32"/>
          <w:highlight w:val="none"/>
          <w:lang w:val="en-US" w:eastAsia="en-US"/>
        </w:rPr>
        <w:t xml:space="preserve">条 </w:t>
      </w:r>
      <w:r>
        <w:rPr>
          <w:rFonts w:hint="eastAsia" w:ascii="CESI仿宋-GB2312" w:hAnsi="CESI仿宋-GB2312" w:eastAsia="CESI仿宋-GB2312" w:cs="CESI仿宋-GB2312"/>
          <w:b w:val="0"/>
          <w:bCs w:val="0"/>
          <w:color w:val="auto"/>
          <w:spacing w:val="14"/>
          <w:sz w:val="32"/>
          <w:szCs w:val="32"/>
          <w:highlight w:val="none"/>
          <w:lang w:val="en-US" w:eastAsia="en-US"/>
        </w:rPr>
        <w:t>申请补偿资金时必须提交如下材料</w:t>
      </w:r>
      <w:r>
        <w:rPr>
          <w:rFonts w:hint="eastAsia" w:ascii="CESI仿宋-GB2312" w:hAnsi="CESI仿宋-GB2312" w:eastAsia="CESI仿宋-GB2312" w:cs="CESI仿宋-GB2312"/>
          <w:b w:val="0"/>
          <w:bCs w:val="0"/>
          <w:color w:val="auto"/>
          <w:spacing w:val="14"/>
          <w:sz w:val="32"/>
          <w:szCs w:val="32"/>
          <w:highlight w:val="none"/>
          <w:lang w:val="en-US" w:eastAsia="zh-CN"/>
        </w:rPr>
        <w:t>：</w:t>
      </w:r>
    </w:p>
    <w:p w14:paraId="788AB0D3">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（一）补偿资金申请报告</w:t>
      </w:r>
      <w:r>
        <w:rPr>
          <w:rFonts w:hint="eastAsia" w:ascii="CESI仿宋-GB2312" w:hAnsi="CESI仿宋-GB2312" w:eastAsia="CESI仿宋-GB2312" w:cs="CESI仿宋-GB2312"/>
          <w:b w:val="0"/>
          <w:bCs w:val="0"/>
          <w:color w:val="auto"/>
          <w:spacing w:val="14"/>
          <w:sz w:val="32"/>
          <w:szCs w:val="32"/>
          <w:highlight w:val="none"/>
          <w:lang w:val="en-US" w:eastAsia="en-US"/>
        </w:rPr>
        <w:t>。</w:t>
      </w:r>
    </w:p>
    <w:p w14:paraId="3E2F6560">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（二）</w:t>
      </w:r>
      <w:r>
        <w:rPr>
          <w:rFonts w:hint="eastAsia" w:ascii="CESI仿宋-GB2312" w:hAnsi="CESI仿宋-GB2312" w:eastAsia="CESI仿宋-GB2312" w:cs="CESI仿宋-GB2312"/>
          <w:b w:val="0"/>
          <w:bCs w:val="0"/>
          <w:color w:val="auto"/>
          <w:spacing w:val="14"/>
          <w:sz w:val="32"/>
          <w:szCs w:val="32"/>
          <w:highlight w:val="none"/>
          <w:lang w:val="en-US" w:eastAsia="en-US"/>
        </w:rPr>
        <w:t>贷款发放情况表。</w:t>
      </w:r>
    </w:p>
    <w:p w14:paraId="6552ADC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（三）</w:t>
      </w:r>
      <w:r>
        <w:rPr>
          <w:rFonts w:hint="eastAsia" w:ascii="CESI仿宋-GB2312" w:hAnsi="CESI仿宋-GB2312" w:eastAsia="CESI仿宋-GB2312" w:cs="CESI仿宋-GB2312"/>
          <w:b w:val="0"/>
          <w:bCs w:val="0"/>
          <w:color w:val="auto"/>
          <w:spacing w:val="14"/>
          <w:sz w:val="32"/>
          <w:szCs w:val="32"/>
          <w:highlight w:val="none"/>
          <w:lang w:val="en-US" w:eastAsia="en-US"/>
        </w:rPr>
        <w:t>不良贷款的合同。</w:t>
      </w:r>
    </w:p>
    <w:p w14:paraId="34CCC22A">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（四）</w:t>
      </w:r>
      <w:r>
        <w:rPr>
          <w:rFonts w:hint="eastAsia" w:ascii="CESI仿宋-GB2312" w:hAnsi="CESI仿宋-GB2312" w:eastAsia="CESI仿宋-GB2312" w:cs="CESI仿宋-GB2312"/>
          <w:b w:val="0"/>
          <w:bCs w:val="0"/>
          <w:color w:val="auto"/>
          <w:spacing w:val="14"/>
          <w:sz w:val="32"/>
          <w:szCs w:val="32"/>
          <w:highlight w:val="none"/>
          <w:lang w:val="en-US" w:eastAsia="en-US"/>
        </w:rPr>
        <w:t>债务追偿措施和结果说明资料。</w:t>
      </w:r>
    </w:p>
    <w:p w14:paraId="7970C111">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（五）</w:t>
      </w:r>
      <w:r>
        <w:rPr>
          <w:rFonts w:hint="eastAsia" w:ascii="CESI仿宋-GB2312" w:hAnsi="CESI仿宋-GB2312" w:eastAsia="CESI仿宋-GB2312" w:cs="CESI仿宋-GB2312"/>
          <w:b w:val="0"/>
          <w:bCs w:val="0"/>
          <w:color w:val="auto"/>
          <w:spacing w:val="14"/>
          <w:sz w:val="32"/>
          <w:szCs w:val="32"/>
          <w:highlight w:val="none"/>
          <w:lang w:val="en-US" w:eastAsia="en-US"/>
        </w:rPr>
        <w:t>不良贷款核销凭证(银行内部审批单)。</w:t>
      </w:r>
    </w:p>
    <w:p w14:paraId="01120829">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（六）</w:t>
      </w:r>
      <w:r>
        <w:rPr>
          <w:rFonts w:hint="eastAsia" w:ascii="CESI仿宋-GB2312" w:hAnsi="CESI仿宋-GB2312" w:eastAsia="CESI仿宋-GB2312" w:cs="CESI仿宋-GB2312"/>
          <w:b w:val="0"/>
          <w:bCs w:val="0"/>
          <w:color w:val="auto"/>
          <w:spacing w:val="14"/>
          <w:sz w:val="32"/>
          <w:szCs w:val="32"/>
          <w:highlight w:val="none"/>
          <w:lang w:val="en-US" w:eastAsia="en-US"/>
        </w:rPr>
        <w:t>其他需提交的材料。</w:t>
      </w:r>
    </w:p>
    <w:p w14:paraId="5601C558">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十六</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lang w:val="en-US" w:eastAsia="en-US"/>
        </w:rPr>
        <w:t xml:space="preserve"> 申请程序、项目审核及资金拨付：</w:t>
      </w:r>
    </w:p>
    <w:p w14:paraId="45B6A254">
      <w:pPr>
        <w:keepNext w:val="0"/>
        <w:keepLines w:val="0"/>
        <w:pageBreakBefore w:val="0"/>
        <w:widowControl w:val="0"/>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1"/>
          <w:sz w:val="32"/>
          <w:szCs w:val="32"/>
          <w:highlight w:val="none"/>
          <w:lang w:val="en-US" w:eastAsia="zh-CN"/>
        </w:rPr>
      </w:pPr>
      <w:r>
        <w:rPr>
          <w:rFonts w:hint="eastAsia" w:ascii="CESI仿宋-GB2312" w:hAnsi="CESI仿宋-GB2312" w:eastAsia="CESI仿宋-GB2312" w:cs="CESI仿宋-GB2312"/>
          <w:b w:val="0"/>
          <w:bCs w:val="0"/>
          <w:color w:val="auto"/>
          <w:spacing w:val="14"/>
          <w:sz w:val="32"/>
          <w:szCs w:val="32"/>
          <w:highlight w:val="none"/>
          <w:lang w:val="en-US" w:eastAsia="zh-CN"/>
        </w:rPr>
        <w:t>（</w:t>
      </w:r>
      <w:r>
        <w:rPr>
          <w:rFonts w:hint="eastAsia" w:ascii="CESI仿宋-GB2312" w:hAnsi="CESI仿宋-GB2312" w:eastAsia="CESI仿宋-GB2312" w:cs="CESI仿宋-GB2312"/>
          <w:b w:val="0"/>
          <w:bCs w:val="0"/>
          <w:color w:val="auto"/>
          <w:spacing w:val="14"/>
          <w:sz w:val="32"/>
          <w:szCs w:val="32"/>
          <w:highlight w:val="none"/>
          <w:lang w:val="en-US" w:eastAsia="en-US"/>
        </w:rPr>
        <w:t>一</w:t>
      </w:r>
      <w:r>
        <w:rPr>
          <w:rFonts w:hint="eastAsia" w:ascii="CESI仿宋-GB2312" w:hAnsi="CESI仿宋-GB2312" w:eastAsia="CESI仿宋-GB2312" w:cs="CESI仿宋-GB2312"/>
          <w:b w:val="0"/>
          <w:bCs w:val="0"/>
          <w:color w:val="auto"/>
          <w:spacing w:val="14"/>
          <w:sz w:val="32"/>
          <w:szCs w:val="32"/>
          <w:highlight w:val="none"/>
          <w:lang w:val="en-US" w:eastAsia="zh-CN"/>
        </w:rPr>
        <w:t>）</w:t>
      </w:r>
      <w:r>
        <w:rPr>
          <w:rFonts w:hint="eastAsia" w:ascii="CESI仿宋-GB2312" w:hAnsi="CESI仿宋-GB2312" w:eastAsia="CESI仿宋-GB2312" w:cs="CESI仿宋-GB2312"/>
          <w:b w:val="0"/>
          <w:bCs w:val="0"/>
          <w:color w:val="auto"/>
          <w:spacing w:val="14"/>
          <w:sz w:val="32"/>
          <w:szCs w:val="32"/>
          <w:highlight w:val="none"/>
          <w:lang w:val="en-US" w:eastAsia="en-US"/>
        </w:rPr>
        <w:t>申请：合作银行以每</w:t>
      </w:r>
      <w:r>
        <w:rPr>
          <w:rFonts w:hint="default" w:ascii="Times New Roman" w:hAnsi="Times New Roman" w:eastAsia="CESI仿宋-GB2312" w:cs="Times New Roman"/>
          <w:b w:val="0"/>
          <w:bCs w:val="0"/>
          <w:color w:val="auto"/>
          <w:spacing w:val="14"/>
          <w:sz w:val="32"/>
          <w:szCs w:val="32"/>
          <w:highlight w:val="none"/>
          <w:lang w:val="en-US" w:eastAsia="en-US"/>
        </w:rPr>
        <w:t>年12月31日</w:t>
      </w:r>
      <w:r>
        <w:rPr>
          <w:rFonts w:hint="eastAsia" w:ascii="CESI仿宋-GB2312" w:hAnsi="CESI仿宋-GB2312" w:eastAsia="CESI仿宋-GB2312" w:cs="CESI仿宋-GB2312"/>
          <w:b w:val="0"/>
          <w:bCs w:val="0"/>
          <w:color w:val="auto"/>
          <w:spacing w:val="14"/>
          <w:sz w:val="32"/>
          <w:szCs w:val="32"/>
          <w:highlight w:val="none"/>
          <w:lang w:val="en-US" w:eastAsia="en-US"/>
        </w:rPr>
        <w:t>为统计时点，统计当年科技</w:t>
      </w:r>
      <w:r>
        <w:rPr>
          <w:rFonts w:hint="eastAsia" w:ascii="CESI仿宋-GB2312" w:hAnsi="CESI仿宋-GB2312" w:eastAsia="CESI仿宋-GB2312" w:cs="CESI仿宋-GB2312"/>
          <w:b w:val="0"/>
          <w:bCs w:val="0"/>
          <w:color w:val="auto"/>
          <w:spacing w:val="14"/>
          <w:sz w:val="32"/>
          <w:szCs w:val="32"/>
          <w:highlight w:val="none"/>
          <w:lang w:val="en-US" w:eastAsia="zh-CN"/>
        </w:rPr>
        <w:t>型中小企业</w:t>
      </w:r>
      <w:r>
        <w:rPr>
          <w:rFonts w:hint="eastAsia" w:ascii="CESI仿宋-GB2312" w:hAnsi="CESI仿宋-GB2312" w:eastAsia="CESI仿宋-GB2312" w:cs="CESI仿宋-GB2312"/>
          <w:b w:val="0"/>
          <w:bCs w:val="0"/>
          <w:color w:val="auto"/>
          <w:spacing w:val="14"/>
          <w:sz w:val="32"/>
          <w:szCs w:val="32"/>
          <w:highlight w:val="none"/>
          <w:lang w:val="en-US" w:eastAsia="en-US"/>
        </w:rPr>
        <w:t>贷款余额及增量、不良贷款</w:t>
      </w:r>
      <w:r>
        <w:rPr>
          <w:rFonts w:hint="eastAsia" w:ascii="CESI仿宋-GB2312" w:hAnsi="CESI仿宋-GB2312" w:eastAsia="CESI仿宋-GB2312" w:cs="CESI仿宋-GB2312"/>
          <w:b w:val="0"/>
          <w:bCs w:val="0"/>
          <w:color w:val="auto"/>
          <w:spacing w:val="14"/>
          <w:sz w:val="32"/>
          <w:szCs w:val="32"/>
          <w:highlight w:val="none"/>
          <w:lang w:val="en-US" w:eastAsia="zh-CN"/>
        </w:rPr>
        <w:t>（</w:t>
      </w:r>
      <w:r>
        <w:rPr>
          <w:rFonts w:hint="eastAsia" w:ascii="CESI仿宋-GB2312" w:hAnsi="CESI仿宋-GB2312" w:eastAsia="CESI仿宋-GB2312" w:cs="CESI仿宋-GB2312"/>
          <w:b w:val="0"/>
          <w:bCs w:val="0"/>
          <w:color w:val="auto"/>
          <w:spacing w:val="14"/>
          <w:sz w:val="32"/>
          <w:szCs w:val="32"/>
          <w:highlight w:val="none"/>
          <w:lang w:val="en-US" w:eastAsia="en-US"/>
        </w:rPr>
        <w:t>清单</w:t>
      </w:r>
      <w:r>
        <w:rPr>
          <w:rFonts w:hint="eastAsia" w:ascii="CESI仿宋-GB2312" w:hAnsi="CESI仿宋-GB2312" w:eastAsia="CESI仿宋-GB2312" w:cs="CESI仿宋-GB2312"/>
          <w:b w:val="0"/>
          <w:bCs w:val="0"/>
          <w:color w:val="auto"/>
          <w:spacing w:val="14"/>
          <w:sz w:val="32"/>
          <w:szCs w:val="32"/>
          <w:highlight w:val="none"/>
          <w:lang w:val="en-US" w:eastAsia="zh-CN"/>
        </w:rPr>
        <w:t>）</w:t>
      </w:r>
      <w:r>
        <w:rPr>
          <w:rFonts w:hint="eastAsia" w:ascii="CESI仿宋-GB2312" w:hAnsi="CESI仿宋-GB2312" w:eastAsia="CESI仿宋-GB2312" w:cs="CESI仿宋-GB2312"/>
          <w:b w:val="0"/>
          <w:bCs w:val="0"/>
          <w:color w:val="auto"/>
          <w:spacing w:val="-11"/>
          <w:sz w:val="32"/>
          <w:szCs w:val="32"/>
          <w:highlight w:val="none"/>
          <w:lang w:val="en-US" w:eastAsia="en-US"/>
        </w:rPr>
        <w:t>及核销坏账所发生的净损失等数据，</w:t>
      </w:r>
      <w:r>
        <w:rPr>
          <w:rFonts w:hint="eastAsia" w:ascii="CESI仿宋-GB2312" w:hAnsi="CESI仿宋-GB2312" w:eastAsia="CESI仿宋-GB2312" w:cs="CESI仿宋-GB2312"/>
          <w:b w:val="0"/>
          <w:bCs w:val="0"/>
          <w:color w:val="000000" w:themeColor="text1"/>
          <w:spacing w:val="-11"/>
          <w:sz w:val="32"/>
          <w:szCs w:val="32"/>
          <w:highlight w:val="none"/>
          <w:lang w:val="en-US" w:eastAsia="en-US"/>
          <w14:textFill>
            <w14:solidFill>
              <w14:schemeClr w14:val="tx1"/>
            </w14:solidFill>
          </w14:textFill>
        </w:rPr>
        <w:t>于</w:t>
      </w:r>
      <w:r>
        <w:rPr>
          <w:rFonts w:hint="default" w:ascii="Times New Roman" w:hAnsi="Times New Roman" w:eastAsia="CESI仿宋-GB2312" w:cs="Times New Roman"/>
          <w:b w:val="0"/>
          <w:bCs w:val="0"/>
          <w:color w:val="000000" w:themeColor="text1"/>
          <w:spacing w:val="-11"/>
          <w:sz w:val="32"/>
          <w:szCs w:val="32"/>
          <w:highlight w:val="none"/>
          <w:lang w:val="en-US" w:eastAsia="zh-CN"/>
          <w14:textFill>
            <w14:solidFill>
              <w14:schemeClr w14:val="tx1"/>
            </w14:solidFill>
          </w14:textFill>
        </w:rPr>
        <w:t>每年3月底前</w:t>
      </w:r>
      <w:r>
        <w:rPr>
          <w:rFonts w:hint="eastAsia" w:ascii="CESI仿宋-GB2312" w:hAnsi="CESI仿宋-GB2312" w:eastAsia="CESI仿宋-GB2312" w:cs="CESI仿宋-GB2312"/>
          <w:b w:val="0"/>
          <w:bCs w:val="0"/>
          <w:color w:val="000000" w:themeColor="text1"/>
          <w:spacing w:val="-11"/>
          <w:sz w:val="32"/>
          <w:szCs w:val="32"/>
          <w:highlight w:val="none"/>
          <w:lang w:val="en-US" w:eastAsia="en-US"/>
          <w14:textFill>
            <w14:solidFill>
              <w14:schemeClr w14:val="tx1"/>
            </w14:solidFill>
          </w14:textFill>
        </w:rPr>
        <w:t>报</w:t>
      </w:r>
      <w:r>
        <w:rPr>
          <w:rFonts w:hint="eastAsia" w:ascii="CESI仿宋-GB2312" w:hAnsi="CESI仿宋-GB2312" w:eastAsia="CESI仿宋-GB2312" w:cs="CESI仿宋-GB2312"/>
          <w:b w:val="0"/>
          <w:bCs w:val="0"/>
          <w:color w:val="000000" w:themeColor="text1"/>
          <w:spacing w:val="-11"/>
          <w:sz w:val="32"/>
          <w:szCs w:val="32"/>
          <w:highlight w:val="none"/>
          <w:lang w:val="en-US" w:eastAsia="zh-CN"/>
          <w14:textFill>
            <w14:solidFill>
              <w14:schemeClr w14:val="tx1"/>
            </w14:solidFill>
          </w14:textFill>
        </w:rPr>
        <w:t>市</w:t>
      </w:r>
      <w:r>
        <w:rPr>
          <w:rFonts w:hint="eastAsia" w:ascii="CESI仿宋-GB2312" w:hAnsi="CESI仿宋-GB2312" w:eastAsia="CESI仿宋-GB2312" w:cs="CESI仿宋-GB2312"/>
          <w:b w:val="0"/>
          <w:bCs w:val="0"/>
          <w:color w:val="auto"/>
          <w:spacing w:val="-11"/>
          <w:sz w:val="32"/>
          <w:szCs w:val="32"/>
          <w:highlight w:val="none"/>
          <w:lang w:val="en-US" w:eastAsia="zh-CN"/>
        </w:rPr>
        <w:t>科技局。</w:t>
      </w:r>
    </w:p>
    <w:p w14:paraId="66066F3F">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96" w:firstLineChars="200"/>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CESI仿宋-GB2312" w:hAnsi="CESI仿宋-GB2312" w:eastAsia="CESI仿宋-GB2312" w:cs="CESI仿宋-GB2312"/>
          <w:b w:val="0"/>
          <w:bCs w:val="0"/>
          <w:color w:val="auto"/>
          <w:spacing w:val="14"/>
          <w:sz w:val="32"/>
          <w:szCs w:val="32"/>
          <w:highlight w:val="none"/>
          <w:lang w:val="en-US" w:eastAsia="zh-CN"/>
        </w:rPr>
        <w:t>（二）</w:t>
      </w:r>
      <w:r>
        <w:rPr>
          <w:rFonts w:hint="eastAsia" w:ascii="CESI仿宋-GB2312" w:hAnsi="CESI仿宋-GB2312" w:eastAsia="CESI仿宋-GB2312" w:cs="CESI仿宋-GB2312"/>
          <w:b w:val="0"/>
          <w:bCs w:val="0"/>
          <w:color w:val="auto"/>
          <w:spacing w:val="14"/>
          <w:sz w:val="32"/>
          <w:szCs w:val="32"/>
          <w:highlight w:val="none"/>
          <w:lang w:val="en-US" w:eastAsia="en-US"/>
        </w:rPr>
        <w:t>审核：</w:t>
      </w:r>
      <w:r>
        <w:rPr>
          <w:rFonts w:hint="eastAsia" w:ascii="CESI仿宋-GB2312" w:hAnsi="CESI仿宋-GB2312" w:eastAsia="CESI仿宋-GB2312" w:cs="CESI仿宋-GB2312"/>
          <w:b w:val="0"/>
          <w:bCs w:val="0"/>
          <w:color w:val="auto"/>
          <w:spacing w:val="14"/>
          <w:sz w:val="32"/>
          <w:szCs w:val="32"/>
          <w:highlight w:val="none"/>
          <w:lang w:val="en-US" w:eastAsia="zh-CN"/>
        </w:rPr>
        <w:t>市科技局</w:t>
      </w:r>
      <w:r>
        <w:rPr>
          <w:rFonts w:hint="eastAsia" w:ascii="CESI仿宋-GB2312" w:hAnsi="CESI仿宋-GB2312" w:eastAsia="CESI仿宋-GB2312" w:cs="CESI仿宋-GB2312"/>
          <w:b w:val="0"/>
          <w:bCs w:val="0"/>
          <w:color w:val="auto"/>
          <w:spacing w:val="14"/>
          <w:sz w:val="32"/>
          <w:szCs w:val="32"/>
          <w:highlight w:val="none"/>
          <w:lang w:val="en-US" w:eastAsia="en-US"/>
        </w:rPr>
        <w:t>对各合作银行申报资料的完整性、合规性进行审核，必要时可委托第三方机构，对相关金融机构当年科技</w:t>
      </w:r>
      <w:r>
        <w:rPr>
          <w:rFonts w:hint="eastAsia" w:ascii="CESI仿宋-GB2312" w:hAnsi="CESI仿宋-GB2312" w:eastAsia="CESI仿宋-GB2312" w:cs="CESI仿宋-GB2312"/>
          <w:b w:val="0"/>
          <w:bCs w:val="0"/>
          <w:color w:val="auto"/>
          <w:spacing w:val="14"/>
          <w:sz w:val="32"/>
          <w:szCs w:val="32"/>
          <w:highlight w:val="none"/>
          <w:lang w:val="en-US" w:eastAsia="zh-CN"/>
        </w:rPr>
        <w:t>型中小企业</w:t>
      </w:r>
      <w:r>
        <w:rPr>
          <w:rFonts w:hint="eastAsia" w:ascii="CESI仿宋-GB2312" w:hAnsi="CESI仿宋-GB2312" w:eastAsia="CESI仿宋-GB2312" w:cs="CESI仿宋-GB2312"/>
          <w:b w:val="0"/>
          <w:bCs w:val="0"/>
          <w:color w:val="auto"/>
          <w:spacing w:val="14"/>
          <w:sz w:val="32"/>
          <w:szCs w:val="32"/>
          <w:highlight w:val="none"/>
          <w:lang w:val="en-US" w:eastAsia="en-US"/>
        </w:rPr>
        <w:t>贷款核销坏账所发生的净损失等进行审核，并将审核结果告知合作银行，合作银行可对审核结果申请复议。</w:t>
      </w:r>
    </w:p>
    <w:p w14:paraId="65072F87">
      <w:pPr>
        <w:pStyle w:val="6"/>
        <w:keepNext w:val="0"/>
        <w:keepLines w:val="0"/>
        <w:pageBreakBefore w:val="0"/>
        <w:widowControl w:val="0"/>
        <w:suppressLineNumbers w:val="0"/>
        <w:kinsoku/>
        <w:wordWrap/>
        <w:overflowPunct/>
        <w:topLinePunct w:val="0"/>
        <w:autoSpaceDE w:val="0"/>
        <w:autoSpaceDN w:val="0"/>
        <w:bidi w:val="0"/>
        <w:adjustRightInd w:val="0"/>
        <w:snapToGrid w:val="0"/>
        <w:spacing w:line="520" w:lineRule="atLeast"/>
        <w:ind w:left="0" w:firstLine="696" w:firstLineChars="200"/>
        <w:jc w:val="both"/>
        <w:textAlignment w:val="auto"/>
        <w:rPr>
          <w:rFonts w:hint="default" w:ascii="Times New Roman" w:hAnsi="Times New Roman" w:eastAsia="CESI仿宋-GB2312" w:cs="Times New Roman"/>
          <w:b w:val="0"/>
          <w:bCs w:val="0"/>
          <w:snapToGrid w:val="0"/>
          <w:color w:val="auto"/>
          <w:spacing w:val="14"/>
          <w:kern w:val="0"/>
          <w:sz w:val="32"/>
          <w:szCs w:val="32"/>
          <w:highlight w:val="none"/>
          <w:lang w:val="en-US" w:eastAsia="en-US" w:bidi="ar-SA"/>
        </w:rPr>
      </w:pPr>
      <w:r>
        <w:rPr>
          <w:rFonts w:hint="eastAsia" w:ascii="CESI仿宋-GB2312" w:hAnsi="CESI仿宋-GB2312" w:eastAsia="CESI仿宋-GB2312" w:cs="CESI仿宋-GB2312"/>
          <w:b w:val="0"/>
          <w:bCs w:val="0"/>
          <w:color w:val="auto"/>
          <w:spacing w:val="14"/>
          <w:sz w:val="32"/>
          <w:szCs w:val="32"/>
          <w:highlight w:val="none"/>
          <w:lang w:val="en-US" w:eastAsia="zh-CN"/>
        </w:rPr>
        <w:t>（三）</w:t>
      </w:r>
      <w:r>
        <w:rPr>
          <w:rFonts w:hint="eastAsia" w:ascii="CESI仿宋-GB2312" w:hAnsi="CESI仿宋-GB2312" w:eastAsia="CESI仿宋-GB2312" w:cs="CESI仿宋-GB2312"/>
          <w:b w:val="0"/>
          <w:bCs w:val="0"/>
          <w:color w:val="auto"/>
          <w:spacing w:val="14"/>
          <w:sz w:val="32"/>
          <w:szCs w:val="32"/>
          <w:highlight w:val="none"/>
          <w:lang w:val="en-US" w:eastAsia="en-US"/>
        </w:rPr>
        <w:t>公示</w:t>
      </w:r>
      <w:r>
        <w:rPr>
          <w:rFonts w:hint="eastAsia" w:ascii="CESI仿宋-GB2312" w:hAnsi="CESI仿宋-GB2312" w:eastAsia="CESI仿宋-GB2312" w:cs="CESI仿宋-GB2312"/>
          <w:b w:val="0"/>
          <w:bCs w:val="0"/>
          <w:snapToGrid w:val="0"/>
          <w:color w:val="auto"/>
          <w:spacing w:val="14"/>
          <w:kern w:val="0"/>
          <w:sz w:val="32"/>
          <w:szCs w:val="32"/>
          <w:highlight w:val="none"/>
          <w:lang w:val="en-US" w:eastAsia="en-US" w:bidi="ar-SA"/>
        </w:rPr>
        <w:t>：</w:t>
      </w:r>
      <w:r>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t>市科技局按程序提出</w:t>
      </w:r>
      <w:r>
        <w:rPr>
          <w:rFonts w:hint="default" w:ascii="CESI仿宋-GB2312" w:hAnsi="CESI仿宋-GB2312" w:eastAsia="CESI仿宋-GB2312" w:cs="CESI仿宋-GB2312"/>
          <w:b w:val="0"/>
          <w:bCs w:val="0"/>
          <w:snapToGrid w:val="0"/>
          <w:color w:val="auto"/>
          <w:spacing w:val="14"/>
          <w:kern w:val="0"/>
          <w:sz w:val="32"/>
          <w:szCs w:val="32"/>
          <w:highlight w:val="none"/>
          <w:lang w:val="en-US" w:eastAsia="zh-CN" w:bidi="ar-SA"/>
        </w:rPr>
        <w:t>资金安排意见，并征求市财政局</w:t>
      </w:r>
      <w:r>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t>、人民银行廊坊市分行、国家金融监管总局廊坊监管分局</w:t>
      </w:r>
      <w:r>
        <w:rPr>
          <w:rFonts w:hint="default" w:ascii="CESI仿宋-GB2312" w:hAnsi="CESI仿宋-GB2312" w:eastAsia="CESI仿宋-GB2312" w:cs="CESI仿宋-GB2312"/>
          <w:b w:val="0"/>
          <w:bCs w:val="0"/>
          <w:snapToGrid w:val="0"/>
          <w:color w:val="auto"/>
          <w:spacing w:val="14"/>
          <w:kern w:val="0"/>
          <w:sz w:val="32"/>
          <w:szCs w:val="32"/>
          <w:highlight w:val="none"/>
          <w:lang w:val="en-US" w:eastAsia="zh-CN" w:bidi="ar-SA"/>
        </w:rPr>
        <w:t>意见</w:t>
      </w:r>
      <w:r>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t>。无异议后，市科技局对拟发放的科技信贷风</w:t>
      </w:r>
      <w:r>
        <w:rPr>
          <w:rFonts w:hint="default" w:ascii="Times New Roman" w:hAnsi="Times New Roman" w:eastAsia="CESI仿宋-GB2312" w:cs="Times New Roman"/>
          <w:b w:val="0"/>
          <w:bCs w:val="0"/>
          <w:snapToGrid w:val="0"/>
          <w:color w:val="auto"/>
          <w:spacing w:val="14"/>
          <w:kern w:val="0"/>
          <w:sz w:val="32"/>
          <w:szCs w:val="32"/>
          <w:highlight w:val="none"/>
          <w:lang w:val="en-US" w:eastAsia="zh-CN" w:bidi="ar-SA"/>
        </w:rPr>
        <w:t>险补偿资金进行公示，</w:t>
      </w:r>
      <w:r>
        <w:rPr>
          <w:rFonts w:hint="default" w:ascii="Times New Roman" w:hAnsi="Times New Roman" w:eastAsia="CESI仿宋-GB2312" w:cs="Times New Roman"/>
          <w:b w:val="0"/>
          <w:bCs w:val="0"/>
          <w:snapToGrid w:val="0"/>
          <w:color w:val="auto"/>
          <w:spacing w:val="14"/>
          <w:kern w:val="0"/>
          <w:sz w:val="32"/>
          <w:szCs w:val="32"/>
          <w:highlight w:val="none"/>
          <w:lang w:val="en-US" w:eastAsia="en-US" w:bidi="ar-SA"/>
        </w:rPr>
        <w:t>公示期</w:t>
      </w:r>
      <w:r>
        <w:rPr>
          <w:rFonts w:hint="default" w:ascii="Times New Roman" w:hAnsi="Times New Roman" w:eastAsia="CESI仿宋-GB2312" w:cs="Times New Roman"/>
          <w:b w:val="0"/>
          <w:bCs w:val="0"/>
          <w:snapToGrid w:val="0"/>
          <w:color w:val="auto"/>
          <w:spacing w:val="14"/>
          <w:kern w:val="0"/>
          <w:sz w:val="32"/>
          <w:szCs w:val="32"/>
          <w:highlight w:val="none"/>
          <w:lang w:val="en-US" w:eastAsia="zh-CN" w:bidi="ar-SA"/>
        </w:rPr>
        <w:t>为</w:t>
      </w:r>
      <w:r>
        <w:rPr>
          <w:rFonts w:hint="default" w:ascii="Times New Roman" w:hAnsi="Times New Roman" w:eastAsia="CESI仿宋-GB2312" w:cs="Times New Roman"/>
          <w:b w:val="0"/>
          <w:bCs w:val="0"/>
          <w:snapToGrid w:val="0"/>
          <w:color w:val="auto"/>
          <w:spacing w:val="14"/>
          <w:kern w:val="0"/>
          <w:sz w:val="32"/>
          <w:szCs w:val="32"/>
          <w:highlight w:val="none"/>
          <w:lang w:val="en-US" w:eastAsia="en-US" w:bidi="ar-SA"/>
        </w:rPr>
        <w:t>5</w:t>
      </w:r>
      <w:r>
        <w:rPr>
          <w:rFonts w:hint="default" w:ascii="Times New Roman" w:hAnsi="Times New Roman" w:eastAsia="CESI仿宋-GB2312" w:cs="Times New Roman"/>
          <w:b w:val="0"/>
          <w:bCs w:val="0"/>
          <w:snapToGrid w:val="0"/>
          <w:color w:val="auto"/>
          <w:spacing w:val="14"/>
          <w:kern w:val="0"/>
          <w:sz w:val="32"/>
          <w:szCs w:val="32"/>
          <w:highlight w:val="none"/>
          <w:lang w:val="en-US" w:eastAsia="zh-CN" w:bidi="ar-SA"/>
        </w:rPr>
        <w:t>个工作</w:t>
      </w:r>
      <w:r>
        <w:rPr>
          <w:rFonts w:hint="default" w:ascii="Times New Roman" w:hAnsi="Times New Roman" w:eastAsia="CESI仿宋-GB2312" w:cs="Times New Roman"/>
          <w:b w:val="0"/>
          <w:bCs w:val="0"/>
          <w:snapToGrid w:val="0"/>
          <w:color w:val="auto"/>
          <w:spacing w:val="14"/>
          <w:kern w:val="0"/>
          <w:sz w:val="32"/>
          <w:szCs w:val="32"/>
          <w:highlight w:val="none"/>
          <w:lang w:val="en-US" w:eastAsia="en-US" w:bidi="ar-SA"/>
        </w:rPr>
        <w:t>日。</w:t>
      </w:r>
    </w:p>
    <w:p w14:paraId="53EFF1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atLeast"/>
        <w:ind w:right="0" w:firstLine="696" w:firstLineChars="200"/>
        <w:jc w:val="both"/>
        <w:textAlignment w:val="auto"/>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pPr>
      <w:r>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t>（四）</w:t>
      </w:r>
      <w:r>
        <w:rPr>
          <w:rFonts w:hint="eastAsia" w:ascii="CESI仿宋-GB2312" w:hAnsi="CESI仿宋-GB2312" w:eastAsia="CESI仿宋-GB2312" w:cs="CESI仿宋-GB2312"/>
          <w:b w:val="0"/>
          <w:bCs w:val="0"/>
          <w:snapToGrid w:val="0"/>
          <w:color w:val="auto"/>
          <w:spacing w:val="14"/>
          <w:kern w:val="0"/>
          <w:sz w:val="32"/>
          <w:szCs w:val="32"/>
          <w:highlight w:val="none"/>
          <w:lang w:val="en-US" w:eastAsia="en-US" w:bidi="ar-SA"/>
        </w:rPr>
        <w:t>拨付：</w:t>
      </w:r>
      <w:r>
        <w:rPr>
          <w:rFonts w:hint="default" w:ascii="CESI仿宋-GB2312" w:hAnsi="CESI仿宋-GB2312" w:eastAsia="CESI仿宋-GB2312" w:cs="CESI仿宋-GB2312"/>
          <w:b w:val="0"/>
          <w:bCs w:val="0"/>
          <w:snapToGrid w:val="0"/>
          <w:color w:val="auto"/>
          <w:spacing w:val="14"/>
          <w:kern w:val="0"/>
          <w:sz w:val="32"/>
          <w:szCs w:val="32"/>
          <w:highlight w:val="none"/>
          <w:lang w:val="en-US" w:eastAsia="en-US" w:bidi="ar-SA"/>
        </w:rPr>
        <w:t>公示无异议后</w:t>
      </w:r>
      <w:r>
        <w:rPr>
          <w:rFonts w:hint="eastAsia" w:ascii="CESI仿宋-GB2312" w:hAnsi="CESI仿宋-GB2312" w:eastAsia="CESI仿宋-GB2312" w:cs="CESI仿宋-GB2312"/>
          <w:b w:val="0"/>
          <w:bCs w:val="0"/>
          <w:snapToGrid w:val="0"/>
          <w:color w:val="auto"/>
          <w:spacing w:val="14"/>
          <w:kern w:val="0"/>
          <w:sz w:val="32"/>
          <w:szCs w:val="32"/>
          <w:highlight w:val="none"/>
          <w:lang w:val="en-US" w:eastAsia="zh-CN" w:bidi="ar-SA"/>
        </w:rPr>
        <w:t>，市科技局会同市财政局按程序拨</w:t>
      </w:r>
      <w:r>
        <w:rPr>
          <w:rFonts w:hint="default" w:ascii="CESI仿宋-GB2312" w:hAnsi="CESI仿宋-GB2312" w:eastAsia="CESI仿宋-GB2312" w:cs="CESI仿宋-GB2312"/>
          <w:b w:val="0"/>
          <w:bCs w:val="0"/>
          <w:snapToGrid w:val="0"/>
          <w:color w:val="auto"/>
          <w:spacing w:val="14"/>
          <w:kern w:val="0"/>
          <w:sz w:val="32"/>
          <w:szCs w:val="32"/>
          <w:highlight w:val="none"/>
          <w:lang w:val="en-US" w:eastAsia="zh-CN" w:bidi="ar-SA"/>
        </w:rPr>
        <w:t>付资金。</w:t>
      </w:r>
    </w:p>
    <w:p w14:paraId="5DE23BE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第六章  补偿资金的使用和监督</w:t>
      </w:r>
    </w:p>
    <w:p w14:paraId="7AE77D6B">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十七</w:t>
      </w:r>
      <w:r>
        <w:rPr>
          <w:rFonts w:hint="eastAsia" w:ascii="仿宋" w:hAnsi="仿宋" w:eastAsia="仿宋" w:cstheme="minorBidi"/>
          <w:b/>
          <w:bCs/>
          <w:snapToGrid/>
          <w:color w:val="auto"/>
          <w:spacing w:val="0"/>
          <w:kern w:val="2"/>
          <w:sz w:val="32"/>
          <w:szCs w:val="32"/>
          <w:highlight w:val="none"/>
          <w:lang w:val="en-US" w:eastAsia="en-US"/>
        </w:rPr>
        <w:t xml:space="preserve">条 </w:t>
      </w:r>
      <w:r>
        <w:rPr>
          <w:rFonts w:hint="eastAsia" w:ascii="CESI仿宋-GB2312" w:hAnsi="CESI仿宋-GB2312" w:eastAsia="CESI仿宋-GB2312" w:cs="CESI仿宋-GB2312"/>
          <w:b w:val="0"/>
          <w:bCs w:val="0"/>
          <w:color w:val="auto"/>
          <w:spacing w:val="14"/>
          <w:sz w:val="32"/>
          <w:szCs w:val="32"/>
          <w:highlight w:val="none"/>
          <w:lang w:val="en-US" w:eastAsia="en-US"/>
        </w:rPr>
        <w:t>各合作银行应按照本实施细则规定，切实做好科技</w:t>
      </w:r>
      <w:r>
        <w:rPr>
          <w:rFonts w:hint="eastAsia" w:ascii="CESI仿宋-GB2312" w:hAnsi="CESI仿宋-GB2312" w:eastAsia="CESI仿宋-GB2312" w:cs="CESI仿宋-GB2312"/>
          <w:b w:val="0"/>
          <w:bCs w:val="0"/>
          <w:color w:val="auto"/>
          <w:spacing w:val="14"/>
          <w:sz w:val="32"/>
          <w:szCs w:val="32"/>
          <w:highlight w:val="none"/>
          <w:lang w:val="en-US" w:eastAsia="zh-CN"/>
        </w:rPr>
        <w:t>型中小企业</w:t>
      </w:r>
      <w:r>
        <w:rPr>
          <w:rFonts w:hint="eastAsia" w:ascii="CESI仿宋-GB2312" w:hAnsi="CESI仿宋-GB2312" w:eastAsia="CESI仿宋-GB2312" w:cs="CESI仿宋-GB2312"/>
          <w:b w:val="0"/>
          <w:bCs w:val="0"/>
          <w:color w:val="auto"/>
          <w:spacing w:val="14"/>
          <w:sz w:val="32"/>
          <w:szCs w:val="32"/>
          <w:highlight w:val="none"/>
          <w:lang w:val="en-US" w:eastAsia="en-US"/>
        </w:rPr>
        <w:t>贷款余额、累计发生额、不良贷款及核销坏账等相关数据的统计工作，在每季度结束</w:t>
      </w:r>
      <w:r>
        <w:rPr>
          <w:rFonts w:hint="default" w:ascii="Times New Roman" w:hAnsi="Times New Roman" w:eastAsia="CESI仿宋-GB2312" w:cs="Times New Roman"/>
          <w:b w:val="0"/>
          <w:bCs w:val="0"/>
          <w:color w:val="auto"/>
          <w:spacing w:val="14"/>
          <w:sz w:val="32"/>
          <w:szCs w:val="32"/>
          <w:highlight w:val="none"/>
          <w:lang w:val="en-US" w:eastAsia="en-US"/>
        </w:rPr>
        <w:t>后15日</w:t>
      </w:r>
      <w:r>
        <w:rPr>
          <w:rFonts w:hint="eastAsia" w:ascii="CESI仿宋-GB2312" w:hAnsi="CESI仿宋-GB2312" w:eastAsia="CESI仿宋-GB2312" w:cs="CESI仿宋-GB2312"/>
          <w:b w:val="0"/>
          <w:bCs w:val="0"/>
          <w:color w:val="auto"/>
          <w:spacing w:val="14"/>
          <w:sz w:val="32"/>
          <w:szCs w:val="32"/>
          <w:highlight w:val="none"/>
          <w:lang w:val="en-US" w:eastAsia="en-US"/>
        </w:rPr>
        <w:t>内将数据报送</w:t>
      </w:r>
      <w:r>
        <w:rPr>
          <w:rFonts w:hint="eastAsia" w:ascii="CESI仿宋-GB2312" w:hAnsi="CESI仿宋-GB2312" w:eastAsia="CESI仿宋-GB2312" w:cs="CESI仿宋-GB2312"/>
          <w:b w:val="0"/>
          <w:bCs w:val="0"/>
          <w:color w:val="auto"/>
          <w:spacing w:val="14"/>
          <w:sz w:val="32"/>
          <w:szCs w:val="32"/>
          <w:highlight w:val="none"/>
          <w:lang w:val="en-US" w:eastAsia="zh-CN"/>
        </w:rPr>
        <w:t>廊坊市科学技术局</w:t>
      </w:r>
      <w:r>
        <w:rPr>
          <w:rFonts w:hint="eastAsia" w:ascii="CESI仿宋-GB2312" w:hAnsi="CESI仿宋-GB2312" w:eastAsia="CESI仿宋-GB2312" w:cs="CESI仿宋-GB2312"/>
          <w:b w:val="0"/>
          <w:bCs w:val="0"/>
          <w:color w:val="auto"/>
          <w:spacing w:val="14"/>
          <w:sz w:val="32"/>
          <w:szCs w:val="32"/>
          <w:highlight w:val="none"/>
          <w:lang w:val="en-US" w:eastAsia="en-US"/>
        </w:rPr>
        <w:t>。</w:t>
      </w:r>
    </w:p>
    <w:p w14:paraId="4C42080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十八</w:t>
      </w:r>
      <w:r>
        <w:rPr>
          <w:rFonts w:hint="eastAsia" w:ascii="仿宋" w:hAnsi="仿宋" w:eastAsia="仿宋" w:cstheme="minorBidi"/>
          <w:b/>
          <w:bCs/>
          <w:snapToGrid/>
          <w:color w:val="auto"/>
          <w:spacing w:val="0"/>
          <w:kern w:val="2"/>
          <w:sz w:val="32"/>
          <w:szCs w:val="32"/>
          <w:highlight w:val="none"/>
          <w:lang w:val="en-US" w:eastAsia="en-US"/>
        </w:rPr>
        <w:t xml:space="preserve">条 </w:t>
      </w:r>
      <w:r>
        <w:rPr>
          <w:rFonts w:hint="eastAsia" w:ascii="CESI仿宋-GB2312" w:hAnsi="CESI仿宋-GB2312" w:eastAsia="CESI仿宋-GB2312" w:cs="CESI仿宋-GB2312"/>
          <w:b w:val="0"/>
          <w:bCs w:val="0"/>
          <w:color w:val="auto"/>
          <w:spacing w:val="14"/>
          <w:sz w:val="32"/>
          <w:szCs w:val="32"/>
          <w:highlight w:val="none"/>
          <w:lang w:val="en-US" w:eastAsia="en-US"/>
        </w:rPr>
        <w:t>获得贷款风险补偿资金的合作银行，应按照金融企业财务制度的有关规定处理，妥善保存相关原始票据及凭证，自觉接受审计部门的监督和审计。</w:t>
      </w:r>
    </w:p>
    <w:p w14:paraId="78AF73E5">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十九</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lang w:val="en-US" w:eastAsia="en-US"/>
        </w:rPr>
        <w:t xml:space="preserve"> 对存在弄虚作假骗取</w:t>
      </w:r>
      <w:r>
        <w:rPr>
          <w:rFonts w:hint="eastAsia" w:ascii="CESI仿宋-GB2312" w:hAnsi="CESI仿宋-GB2312" w:eastAsia="CESI仿宋-GB2312" w:cs="CESI仿宋-GB2312"/>
          <w:b w:val="0"/>
          <w:bCs w:val="0"/>
          <w:color w:val="auto"/>
          <w:spacing w:val="14"/>
          <w:sz w:val="32"/>
          <w:szCs w:val="32"/>
          <w:highlight w:val="none"/>
          <w:lang w:val="en-US" w:eastAsia="zh-CN"/>
        </w:rPr>
        <w:t>补偿</w:t>
      </w:r>
      <w:r>
        <w:rPr>
          <w:rFonts w:hint="eastAsia" w:ascii="CESI仿宋-GB2312" w:hAnsi="CESI仿宋-GB2312" w:eastAsia="CESI仿宋-GB2312" w:cs="CESI仿宋-GB2312"/>
          <w:b w:val="0"/>
          <w:bCs w:val="0"/>
          <w:color w:val="auto"/>
          <w:spacing w:val="14"/>
          <w:sz w:val="32"/>
          <w:szCs w:val="32"/>
          <w:highlight w:val="none"/>
          <w:lang w:val="en-US" w:eastAsia="en-US"/>
        </w:rPr>
        <w:t>资金等失信行为的单位，一经查实，取消其合作资格，并按照有关规定进行处理。</w:t>
      </w:r>
    </w:p>
    <w:p w14:paraId="7BA35E46">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lang w:val="en-US" w:eastAsia="en-US"/>
        </w:rPr>
      </w:pPr>
    </w:p>
    <w:p w14:paraId="1222B9D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黑体" w:hAnsi="仿宋" w:eastAsia="黑体" w:cstheme="minorBidi"/>
          <w:b w:val="0"/>
          <w:bCs w:val="0"/>
          <w:snapToGrid/>
          <w:color w:val="auto"/>
          <w:spacing w:val="0"/>
          <w:kern w:val="2"/>
          <w:sz w:val="32"/>
          <w:szCs w:val="32"/>
          <w:highlight w:val="none"/>
          <w:lang w:val="en-US" w:eastAsia="zh-CN"/>
        </w:rPr>
      </w:pPr>
      <w:r>
        <w:rPr>
          <w:rFonts w:hint="eastAsia" w:ascii="黑体" w:hAnsi="仿宋" w:eastAsia="黑体" w:cstheme="minorBidi"/>
          <w:b w:val="0"/>
          <w:bCs w:val="0"/>
          <w:snapToGrid/>
          <w:color w:val="auto"/>
          <w:spacing w:val="0"/>
          <w:kern w:val="2"/>
          <w:sz w:val="32"/>
          <w:szCs w:val="32"/>
          <w:highlight w:val="none"/>
          <w:lang w:val="en-US" w:eastAsia="zh-CN"/>
        </w:rPr>
        <w:t>第七章  附  则</w:t>
      </w:r>
    </w:p>
    <w:p w14:paraId="67C37047">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val="en-US" w:eastAsia="en-US"/>
        </w:rPr>
        <w:t>第</w:t>
      </w:r>
      <w:r>
        <w:rPr>
          <w:rFonts w:hint="eastAsia" w:ascii="仿宋" w:hAnsi="仿宋" w:eastAsia="仿宋" w:cstheme="minorBidi"/>
          <w:b/>
          <w:bCs/>
          <w:snapToGrid/>
          <w:color w:val="auto"/>
          <w:spacing w:val="0"/>
          <w:kern w:val="2"/>
          <w:sz w:val="32"/>
          <w:szCs w:val="32"/>
          <w:highlight w:val="none"/>
          <w:lang w:val="en-US" w:eastAsia="zh-CN"/>
        </w:rPr>
        <w:t>二十</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rPr>
        <w:t xml:space="preserve"> 本实施细则由</w:t>
      </w:r>
      <w:r>
        <w:rPr>
          <w:rFonts w:hint="eastAsia" w:ascii="CESI仿宋-GB2312" w:hAnsi="CESI仿宋-GB2312" w:eastAsia="CESI仿宋-GB2312" w:cs="CESI仿宋-GB2312"/>
          <w:b w:val="0"/>
          <w:bCs w:val="0"/>
          <w:color w:val="auto"/>
          <w:spacing w:val="14"/>
          <w:sz w:val="32"/>
          <w:szCs w:val="32"/>
          <w:highlight w:val="none"/>
          <w:lang w:eastAsia="zh-CN"/>
        </w:rPr>
        <w:t>市科技局</w:t>
      </w:r>
      <w:r>
        <w:rPr>
          <w:rFonts w:hint="eastAsia" w:ascii="CESI仿宋-GB2312" w:hAnsi="CESI仿宋-GB2312" w:eastAsia="CESI仿宋-GB2312" w:cs="CESI仿宋-GB2312"/>
          <w:b w:val="0"/>
          <w:bCs w:val="0"/>
          <w:color w:val="auto"/>
          <w:spacing w:val="14"/>
          <w:sz w:val="32"/>
          <w:szCs w:val="32"/>
          <w:highlight w:val="none"/>
        </w:rPr>
        <w:t>负责解释。</w:t>
      </w:r>
    </w:p>
    <w:p w14:paraId="6CDF192E">
      <w:pPr>
        <w:keepNext w:val="0"/>
        <w:keepLines w:val="0"/>
        <w:pageBreakBefore w:val="0"/>
        <w:widowControl/>
        <w:kinsoku/>
        <w:wordWrap/>
        <w:overflowPunct/>
        <w:topLinePunct w:val="0"/>
        <w:autoSpaceDE w:val="0"/>
        <w:autoSpaceDN w:val="0"/>
        <w:bidi w:val="0"/>
        <w:adjustRightInd w:val="0"/>
        <w:snapToGrid w:val="0"/>
        <w:spacing w:before="6" w:line="580" w:lineRule="exact"/>
        <w:ind w:right="28" w:firstLine="646"/>
        <w:jc w:val="both"/>
        <w:textAlignment w:val="baseline"/>
        <w:rPr>
          <w:rFonts w:hint="eastAsia" w:ascii="CESI仿宋-GB2312" w:hAnsi="CESI仿宋-GB2312" w:eastAsia="CESI仿宋-GB2312" w:cs="CESI仿宋-GB2312"/>
          <w:b w:val="0"/>
          <w:bCs w:val="0"/>
          <w:color w:val="auto"/>
          <w:spacing w:val="14"/>
          <w:sz w:val="32"/>
          <w:szCs w:val="32"/>
          <w:highlight w:val="none"/>
        </w:rPr>
      </w:pPr>
      <w:r>
        <w:rPr>
          <w:rFonts w:hint="eastAsia" w:ascii="仿宋" w:hAnsi="仿宋" w:eastAsia="仿宋" w:cstheme="minorBidi"/>
          <w:b/>
          <w:bCs/>
          <w:snapToGrid/>
          <w:color w:val="auto"/>
          <w:spacing w:val="0"/>
          <w:kern w:val="2"/>
          <w:sz w:val="32"/>
          <w:szCs w:val="32"/>
          <w:highlight w:val="none"/>
          <w:lang w:val="en-US" w:eastAsia="en-US"/>
        </w:rPr>
        <w:t>第二十</w:t>
      </w:r>
      <w:r>
        <w:rPr>
          <w:rFonts w:hint="eastAsia" w:ascii="仿宋" w:hAnsi="仿宋" w:eastAsia="仿宋" w:cstheme="minorBidi"/>
          <w:b/>
          <w:bCs/>
          <w:snapToGrid/>
          <w:color w:val="auto"/>
          <w:spacing w:val="0"/>
          <w:kern w:val="2"/>
          <w:sz w:val="32"/>
          <w:szCs w:val="32"/>
          <w:highlight w:val="none"/>
          <w:lang w:val="en-US" w:eastAsia="zh-CN"/>
        </w:rPr>
        <w:t>一</w:t>
      </w:r>
      <w:r>
        <w:rPr>
          <w:rFonts w:hint="eastAsia" w:ascii="仿宋" w:hAnsi="仿宋" w:eastAsia="仿宋" w:cstheme="minorBidi"/>
          <w:b/>
          <w:bCs/>
          <w:snapToGrid/>
          <w:color w:val="auto"/>
          <w:spacing w:val="0"/>
          <w:kern w:val="2"/>
          <w:sz w:val="32"/>
          <w:szCs w:val="32"/>
          <w:highlight w:val="none"/>
          <w:lang w:val="en-US" w:eastAsia="en-US"/>
        </w:rPr>
        <w:t>条</w:t>
      </w:r>
      <w:r>
        <w:rPr>
          <w:rFonts w:hint="eastAsia" w:ascii="CESI仿宋-GB2312" w:hAnsi="CESI仿宋-GB2312" w:eastAsia="CESI仿宋-GB2312" w:cs="CESI仿宋-GB2312"/>
          <w:b w:val="0"/>
          <w:bCs w:val="0"/>
          <w:color w:val="auto"/>
          <w:spacing w:val="14"/>
          <w:sz w:val="32"/>
          <w:szCs w:val="32"/>
          <w:highlight w:val="none"/>
        </w:rPr>
        <w:t xml:space="preserve"> 本办法自发布之日起施行，有效期</w:t>
      </w:r>
      <w:r>
        <w:rPr>
          <w:rFonts w:hint="default" w:ascii="Times New Roman" w:hAnsi="Times New Roman" w:eastAsia="CESI仿宋-GB2312" w:cs="Times New Roman"/>
          <w:b w:val="0"/>
          <w:bCs w:val="0"/>
          <w:color w:val="auto"/>
          <w:spacing w:val="14"/>
          <w:sz w:val="32"/>
          <w:szCs w:val="32"/>
          <w:highlight w:val="none"/>
          <w:lang w:val="en-US" w:eastAsia="zh-CN"/>
        </w:rPr>
        <w:t>3</w:t>
      </w:r>
      <w:r>
        <w:rPr>
          <w:rFonts w:hint="eastAsia" w:ascii="CESI仿宋-GB2312" w:hAnsi="CESI仿宋-GB2312" w:eastAsia="CESI仿宋-GB2312" w:cs="CESI仿宋-GB2312"/>
          <w:b w:val="0"/>
          <w:bCs w:val="0"/>
          <w:color w:val="auto"/>
          <w:spacing w:val="14"/>
          <w:sz w:val="32"/>
          <w:szCs w:val="32"/>
          <w:highlight w:val="none"/>
        </w:rPr>
        <w:t>年。</w:t>
      </w:r>
    </w:p>
    <w:p w14:paraId="1409F783">
      <w:pPr>
        <w:keepNext w:val="0"/>
        <w:keepLines w:val="0"/>
        <w:pageBreakBefore w:val="0"/>
        <w:widowControl/>
        <w:kinsoku/>
        <w:wordWrap/>
        <w:overflowPunct/>
        <w:topLinePunct w:val="0"/>
        <w:autoSpaceDE w:val="0"/>
        <w:autoSpaceDN w:val="0"/>
        <w:bidi w:val="0"/>
        <w:adjustRightInd w:val="0"/>
        <w:snapToGrid w:val="0"/>
        <w:spacing w:before="6" w:line="580" w:lineRule="exact"/>
        <w:ind w:left="2028" w:leftChars="200" w:right="28" w:hanging="1392" w:hangingChars="400"/>
        <w:jc w:val="both"/>
        <w:textAlignment w:val="baseline"/>
        <w:rPr>
          <w:rFonts w:hint="default" w:ascii="Times New Roman" w:hAnsi="Times New Roman" w:eastAsia="CESI仿宋-GB2312" w:cs="Times New Roman"/>
          <w:b w:val="0"/>
          <w:bCs w:val="0"/>
          <w:color w:val="auto"/>
          <w:spacing w:val="14"/>
          <w:sz w:val="32"/>
          <w:szCs w:val="32"/>
          <w:highlight w:val="none"/>
          <w:lang w:val="en-US" w:eastAsia="zh-CN"/>
        </w:rPr>
      </w:pPr>
    </w:p>
    <w:sectPr>
      <w:footerReference r:id="rId5" w:type="default"/>
      <w:pgSz w:w="12120" w:h="16800"/>
      <w:pgMar w:top="1984" w:right="1701" w:bottom="1417" w:left="1701" w:header="0" w:footer="104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2581">
    <w:pPr>
      <w:spacing w:line="176" w:lineRule="auto"/>
      <w:jc w:val="right"/>
      <w:rPr>
        <w:rFonts w:ascii="宋体" w:hAnsi="宋体" w:eastAsia="宋体" w:cs="宋体"/>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0F2F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D0F2F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F527C"/>
    <w:rsid w:val="1E7EC577"/>
    <w:rsid w:val="21B7F2A2"/>
    <w:rsid w:val="294068CA"/>
    <w:rsid w:val="2FB76B36"/>
    <w:rsid w:val="32BE50D4"/>
    <w:rsid w:val="37EA58AB"/>
    <w:rsid w:val="37FF2DB8"/>
    <w:rsid w:val="3BDE2DA8"/>
    <w:rsid w:val="3EB87302"/>
    <w:rsid w:val="3EFEE0BE"/>
    <w:rsid w:val="3FFF7D03"/>
    <w:rsid w:val="52DF5B09"/>
    <w:rsid w:val="55BB493C"/>
    <w:rsid w:val="56EF6CDD"/>
    <w:rsid w:val="5A7BD01A"/>
    <w:rsid w:val="5AF51026"/>
    <w:rsid w:val="5B7F66BA"/>
    <w:rsid w:val="5D7C4331"/>
    <w:rsid w:val="5D7DBD3E"/>
    <w:rsid w:val="5FEE8208"/>
    <w:rsid w:val="5FFFAEC2"/>
    <w:rsid w:val="635E777A"/>
    <w:rsid w:val="655C69F6"/>
    <w:rsid w:val="6ADCE9E5"/>
    <w:rsid w:val="6FBB5833"/>
    <w:rsid w:val="73EF6896"/>
    <w:rsid w:val="74E6F500"/>
    <w:rsid w:val="74FDD5A1"/>
    <w:rsid w:val="76F599BD"/>
    <w:rsid w:val="777B919C"/>
    <w:rsid w:val="77BA5227"/>
    <w:rsid w:val="77E7B5D1"/>
    <w:rsid w:val="7AFEEDBC"/>
    <w:rsid w:val="7B3F23D3"/>
    <w:rsid w:val="7BDF50BB"/>
    <w:rsid w:val="7BF91A22"/>
    <w:rsid w:val="7F7F99E8"/>
    <w:rsid w:val="7FA7E31A"/>
    <w:rsid w:val="7FDF13CB"/>
    <w:rsid w:val="7FFD620F"/>
    <w:rsid w:val="8E722FB9"/>
    <w:rsid w:val="9B3FABDF"/>
    <w:rsid w:val="9EDAF1B7"/>
    <w:rsid w:val="9EF30364"/>
    <w:rsid w:val="A5B66BF6"/>
    <w:rsid w:val="AFD66CCB"/>
    <w:rsid w:val="B547C0C3"/>
    <w:rsid w:val="BA993ABF"/>
    <w:rsid w:val="BBEF7AE3"/>
    <w:rsid w:val="BDAA8D3B"/>
    <w:rsid w:val="BFFDA150"/>
    <w:rsid w:val="BFFFE91E"/>
    <w:rsid w:val="CDF66B11"/>
    <w:rsid w:val="CFCF4924"/>
    <w:rsid w:val="D57FD9E6"/>
    <w:rsid w:val="D6EF6804"/>
    <w:rsid w:val="D7F7E99D"/>
    <w:rsid w:val="DBB78C9F"/>
    <w:rsid w:val="DBFDE8FD"/>
    <w:rsid w:val="DDAEF722"/>
    <w:rsid w:val="DDFB7918"/>
    <w:rsid w:val="DFEFC779"/>
    <w:rsid w:val="E1F7544A"/>
    <w:rsid w:val="E65FC401"/>
    <w:rsid w:val="E7B5C329"/>
    <w:rsid w:val="E9E400AD"/>
    <w:rsid w:val="EA601100"/>
    <w:rsid w:val="EBFE9AF3"/>
    <w:rsid w:val="EDFF3B38"/>
    <w:rsid w:val="EE7DAB41"/>
    <w:rsid w:val="EFB7A709"/>
    <w:rsid w:val="EFE57F04"/>
    <w:rsid w:val="EFFED94E"/>
    <w:rsid w:val="EFFFE437"/>
    <w:rsid w:val="EFFFED16"/>
    <w:rsid w:val="F47BB556"/>
    <w:rsid w:val="F5EF46BA"/>
    <w:rsid w:val="F785F1D8"/>
    <w:rsid w:val="F7BE059B"/>
    <w:rsid w:val="F7BF05AD"/>
    <w:rsid w:val="F7DF1F4A"/>
    <w:rsid w:val="F7E67DCC"/>
    <w:rsid w:val="F9EC48EF"/>
    <w:rsid w:val="F9FBCB9B"/>
    <w:rsid w:val="FA7EC586"/>
    <w:rsid w:val="FABFD69A"/>
    <w:rsid w:val="FBDB8D4A"/>
    <w:rsid w:val="FDF5D249"/>
    <w:rsid w:val="FEED5085"/>
    <w:rsid w:val="FEF70883"/>
    <w:rsid w:val="FF6BE674"/>
    <w:rsid w:val="FFD634AB"/>
    <w:rsid w:val="FFD9F7AE"/>
    <w:rsid w:val="FFFE9741"/>
    <w:rsid w:val="FFFFF7F3"/>
    <w:rsid w:val="FFFFF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仿宋"/>
      <w:b/>
      <w:bCs/>
      <w:snapToGrid w:val="0"/>
      <w:color w:val="000000" w:themeColor="text1"/>
      <w:spacing w:val="-6"/>
      <w:kern w:val="0"/>
      <w:sz w:val="33"/>
      <w:szCs w:val="33"/>
      <w:lang w:val="en-US" w:eastAsia="en-US" w:bidi="ar-SA"/>
      <w14:textFill>
        <w14:solidFill>
          <w14:schemeClr w14:val="tx1"/>
        </w14:solidFill>
      </w14:textFill>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2844</Words>
  <Characters>2898</Characters>
  <TotalTime>31</TotalTime>
  <ScaleCrop>false</ScaleCrop>
  <LinksUpToDate>false</LinksUpToDate>
  <CharactersWithSpaces>2986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2024-10-31T09:04:00Z</dcterms:created>
  <dc:creator>Kingsoft-PDF</dc:creator>
  <cp:lastModifiedBy>　铭悦</cp:lastModifiedBy>
  <cp:lastPrinted>2025-05-20T22:19:00Z</cp:lastPrinted>
  <dcterms:modified xsi:type="dcterms:W3CDTF">2025-05-21T01:20:22Z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2024-10-24T09:04:54Z</vt:filetime>
  </property>
  <property fmtid="{D5CDD505-2E9C-101B-9397-08002B2CF9AE}" pid="4" name="UsrData">
    <vt:lpwstr>67199d34ca31ec001f9b3fc2wl</vt:lpwstr>
  </property>
  <property fmtid="{D5CDD505-2E9C-101B-9397-08002B2CF9AE}" pid="5" name="KSOProductBuildVer">
    <vt:lpwstr>2052-12.1.0.20784</vt:lpwstr>
  </property>
  <property fmtid="{D5CDD505-2E9C-101B-9397-08002B2CF9AE}" pid="6" name="ICV">
    <vt:lpwstr>0A06A49D879E42D6BDC50462E87A2A39_13</vt:lpwstr>
  </property>
  <property fmtid="{D5CDD505-2E9C-101B-9397-08002B2CF9AE}" pid="7" name="KSOTemplateDocerSaveRecord">
    <vt:lpwstr>eyJoZGlkIjoiNDBjOGFmZDhiOWU0NmI5YjliOWRlYmFjODI1YjQyYjQiLCJ1c2VySWQiOiI1MTIwNDE4OTMifQ==</vt:lpwstr>
  </property>
</Properties>
</file>